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C93D1" w14:textId="77777777" w:rsidR="00EA544F" w:rsidRPr="00864420" w:rsidRDefault="00EA544F" w:rsidP="00864420">
      <w:pPr>
        <w:tabs>
          <w:tab w:val="center" w:pos="4320"/>
        </w:tabs>
        <w:suppressAutoHyphens/>
        <w:jc w:val="center"/>
        <w:rPr>
          <w:rFonts w:ascii="Courier New" w:hAnsi="Courier New" w:cs="Courier New"/>
        </w:rPr>
      </w:pPr>
      <w:r w:rsidRPr="00864420">
        <w:rPr>
          <w:rFonts w:ascii="Courier New" w:hAnsi="Courier New" w:cs="Courier New"/>
        </w:rPr>
        <w:t>BEFORE THE IDAHO PUBLIC UTILITIES COMMISSION</w:t>
      </w:r>
    </w:p>
    <w:p w14:paraId="3B1F795D" w14:textId="77777777" w:rsidR="00EA544F" w:rsidRPr="00864420" w:rsidRDefault="00EA544F" w:rsidP="00864420">
      <w:pPr>
        <w:tabs>
          <w:tab w:val="left" w:pos="-720"/>
        </w:tabs>
        <w:suppressAutoHyphens/>
        <w:jc w:val="both"/>
        <w:rPr>
          <w:rFonts w:ascii="Courier New" w:hAnsi="Courier New" w:cs="Courier New"/>
        </w:rPr>
      </w:pPr>
    </w:p>
    <w:p w14:paraId="417FC6B7" w14:textId="77777777" w:rsidR="00EA544F" w:rsidRPr="00864420" w:rsidRDefault="00EA544F" w:rsidP="00864420">
      <w:pPr>
        <w:tabs>
          <w:tab w:val="left" w:pos="-720"/>
        </w:tabs>
        <w:suppressAutoHyphens/>
        <w:jc w:val="both"/>
        <w:rPr>
          <w:rFonts w:ascii="Courier New" w:hAnsi="Courier New" w:cs="Courier New"/>
        </w:rPr>
      </w:pPr>
    </w:p>
    <w:p w14:paraId="5DF743D4" w14:textId="77777777" w:rsidR="00EA544F" w:rsidRPr="00864420" w:rsidRDefault="00EA544F" w:rsidP="00864420">
      <w:pPr>
        <w:tabs>
          <w:tab w:val="left" w:pos="-720"/>
        </w:tabs>
        <w:suppressAutoHyphens/>
        <w:jc w:val="both"/>
        <w:rPr>
          <w:rFonts w:ascii="Courier New" w:hAnsi="Courier New" w:cs="Courier New"/>
        </w:rPr>
      </w:pPr>
    </w:p>
    <w:tbl>
      <w:tblPr>
        <w:tblW w:w="0" w:type="auto"/>
        <w:tblLayout w:type="fixed"/>
        <w:tblLook w:val="01E0" w:firstRow="1" w:lastRow="1" w:firstColumn="1" w:lastColumn="1" w:noHBand="0" w:noVBand="0"/>
      </w:tblPr>
      <w:tblGrid>
        <w:gridCol w:w="4968"/>
        <w:gridCol w:w="360"/>
        <w:gridCol w:w="3528"/>
      </w:tblGrid>
      <w:tr w:rsidR="00EA544F" w:rsidRPr="00864420" w14:paraId="7634D3B7" w14:textId="77777777">
        <w:tc>
          <w:tcPr>
            <w:tcW w:w="4968" w:type="dxa"/>
            <w:tcBorders>
              <w:bottom w:val="single" w:sz="4" w:space="0" w:color="auto"/>
            </w:tcBorders>
          </w:tcPr>
          <w:p w14:paraId="71F204B0" w14:textId="27C6434A" w:rsidR="00EA544F" w:rsidRPr="00864420" w:rsidRDefault="00EA544F" w:rsidP="00864420">
            <w:pPr>
              <w:tabs>
                <w:tab w:val="left" w:pos="-720"/>
              </w:tabs>
              <w:suppressAutoHyphens/>
              <w:rPr>
                <w:rFonts w:ascii="Courier New" w:hAnsi="Courier New" w:cs="Courier New"/>
              </w:rPr>
            </w:pPr>
            <w:r w:rsidRPr="00864420">
              <w:rPr>
                <w:rFonts w:ascii="Courier New" w:hAnsi="Courier New" w:cs="Courier New"/>
              </w:rPr>
              <w:t>IN THE MATTER OF THE APPLICATION OF IDAHO POWER COMPANY FOR AUTHORITY TO IMPLEMENT POWER COST ADJUSTMENT (“PCA”) RATES FOR ELECTRIC SERVICE FROM JU</w:t>
            </w:r>
            <w:r w:rsidR="008F0DFE" w:rsidRPr="00864420">
              <w:rPr>
                <w:rFonts w:ascii="Courier New" w:hAnsi="Courier New" w:cs="Courier New"/>
              </w:rPr>
              <w:t xml:space="preserve">NE 1, </w:t>
            </w:r>
            <w:r w:rsidR="00202300">
              <w:rPr>
                <w:rFonts w:ascii="Courier New" w:hAnsi="Courier New" w:cs="Courier New"/>
              </w:rPr>
              <w:t>2023</w:t>
            </w:r>
            <w:r w:rsidR="008F0DFE" w:rsidRPr="00864420">
              <w:rPr>
                <w:rFonts w:ascii="Courier New" w:hAnsi="Courier New" w:cs="Courier New"/>
              </w:rPr>
              <w:t xml:space="preserve">, THROUGH MAY 31, </w:t>
            </w:r>
            <w:r w:rsidR="00202300">
              <w:rPr>
                <w:rFonts w:ascii="Courier New" w:hAnsi="Courier New" w:cs="Courier New"/>
              </w:rPr>
              <w:t>2024</w:t>
            </w:r>
            <w:r w:rsidRPr="00864420">
              <w:rPr>
                <w:rFonts w:ascii="Courier New" w:hAnsi="Courier New" w:cs="Courier New"/>
              </w:rPr>
              <w:t>.</w:t>
            </w:r>
          </w:p>
          <w:p w14:paraId="6CAACA9F" w14:textId="77777777" w:rsidR="00EA544F" w:rsidRPr="00864420" w:rsidRDefault="00EA544F" w:rsidP="00864420">
            <w:pPr>
              <w:tabs>
                <w:tab w:val="left" w:pos="-720"/>
              </w:tabs>
              <w:suppressAutoHyphens/>
              <w:jc w:val="both"/>
              <w:rPr>
                <w:rFonts w:ascii="Courier New" w:hAnsi="Courier New" w:cs="Courier New"/>
              </w:rPr>
            </w:pPr>
          </w:p>
        </w:tc>
        <w:tc>
          <w:tcPr>
            <w:tcW w:w="360" w:type="dxa"/>
          </w:tcPr>
          <w:p w14:paraId="6F2C2B2C" w14:textId="77777777" w:rsidR="00EA544F" w:rsidRPr="00864420" w:rsidRDefault="00EA544F" w:rsidP="00864420">
            <w:pPr>
              <w:tabs>
                <w:tab w:val="left" w:pos="-720"/>
              </w:tabs>
              <w:suppressAutoHyphens/>
              <w:jc w:val="both"/>
              <w:rPr>
                <w:rFonts w:ascii="Courier New" w:hAnsi="Courier New" w:cs="Courier New"/>
              </w:rPr>
            </w:pPr>
            <w:r w:rsidRPr="00864420">
              <w:rPr>
                <w:rFonts w:ascii="Courier New" w:hAnsi="Courier New" w:cs="Courier New"/>
              </w:rPr>
              <w:t>))))))</w:t>
            </w:r>
          </w:p>
          <w:p w14:paraId="0C81291B" w14:textId="77777777" w:rsidR="00EA544F" w:rsidRPr="00864420" w:rsidRDefault="00EA544F" w:rsidP="00864420">
            <w:pPr>
              <w:tabs>
                <w:tab w:val="left" w:pos="-720"/>
              </w:tabs>
              <w:suppressAutoHyphens/>
              <w:jc w:val="both"/>
              <w:rPr>
                <w:rFonts w:ascii="Courier New" w:hAnsi="Courier New" w:cs="Courier New"/>
              </w:rPr>
            </w:pPr>
            <w:r w:rsidRPr="00864420">
              <w:rPr>
                <w:rFonts w:ascii="Courier New" w:hAnsi="Courier New" w:cs="Courier New"/>
              </w:rPr>
              <w:t>)</w:t>
            </w:r>
          </w:p>
        </w:tc>
        <w:tc>
          <w:tcPr>
            <w:tcW w:w="3528" w:type="dxa"/>
          </w:tcPr>
          <w:p w14:paraId="5212967F" w14:textId="77777777" w:rsidR="00EA544F" w:rsidRPr="00864420" w:rsidRDefault="00EA544F" w:rsidP="00864420">
            <w:pPr>
              <w:tabs>
                <w:tab w:val="left" w:pos="-720"/>
              </w:tabs>
              <w:suppressAutoHyphens/>
              <w:jc w:val="both"/>
              <w:rPr>
                <w:rFonts w:ascii="Courier New" w:hAnsi="Courier New" w:cs="Courier New"/>
              </w:rPr>
            </w:pPr>
          </w:p>
          <w:p w14:paraId="2E246DFD" w14:textId="77777777" w:rsidR="00EA544F" w:rsidRPr="00864420" w:rsidRDefault="00EA544F" w:rsidP="00864420">
            <w:pPr>
              <w:tabs>
                <w:tab w:val="left" w:pos="-720"/>
              </w:tabs>
              <w:suppressAutoHyphens/>
              <w:jc w:val="both"/>
              <w:rPr>
                <w:rFonts w:ascii="Courier New" w:hAnsi="Courier New" w:cs="Courier New"/>
              </w:rPr>
            </w:pPr>
          </w:p>
          <w:p w14:paraId="469C534F" w14:textId="2C54E0CE" w:rsidR="00EA544F" w:rsidRPr="00864420" w:rsidRDefault="00EA544F" w:rsidP="00864420">
            <w:pPr>
              <w:tabs>
                <w:tab w:val="left" w:pos="-720"/>
              </w:tabs>
              <w:suppressAutoHyphens/>
              <w:ind w:firstLine="162"/>
              <w:jc w:val="both"/>
              <w:rPr>
                <w:rFonts w:ascii="Courier New" w:hAnsi="Courier New" w:cs="Courier New"/>
              </w:rPr>
            </w:pPr>
            <w:r w:rsidRPr="00864420">
              <w:rPr>
                <w:rFonts w:ascii="Courier New" w:hAnsi="Courier New" w:cs="Courier New"/>
              </w:rPr>
              <w:t>CASE NO. IPC-E-</w:t>
            </w:r>
            <w:r w:rsidR="00CE05DE">
              <w:rPr>
                <w:rFonts w:ascii="Courier New" w:hAnsi="Courier New" w:cs="Courier New"/>
              </w:rPr>
              <w:t>2</w:t>
            </w:r>
            <w:r w:rsidR="00202300">
              <w:rPr>
                <w:rFonts w:ascii="Courier New" w:hAnsi="Courier New" w:cs="Courier New"/>
              </w:rPr>
              <w:t>3</w:t>
            </w:r>
            <w:r w:rsidR="00022A04">
              <w:rPr>
                <w:rFonts w:ascii="Courier New" w:hAnsi="Courier New" w:cs="Courier New"/>
              </w:rPr>
              <w:t>-</w:t>
            </w:r>
            <w:r w:rsidR="008608D4">
              <w:rPr>
                <w:rFonts w:ascii="Courier New" w:hAnsi="Courier New" w:cs="Courier New"/>
              </w:rPr>
              <w:t>12</w:t>
            </w:r>
          </w:p>
        </w:tc>
      </w:tr>
    </w:tbl>
    <w:p w14:paraId="63AB0166" w14:textId="77777777" w:rsidR="00EA544F" w:rsidRPr="00864420" w:rsidRDefault="00EA544F" w:rsidP="00864420">
      <w:pPr>
        <w:tabs>
          <w:tab w:val="left" w:pos="-720"/>
        </w:tabs>
        <w:suppressAutoHyphens/>
        <w:jc w:val="both"/>
        <w:rPr>
          <w:rFonts w:ascii="Courier New" w:hAnsi="Courier New" w:cs="Courier New"/>
        </w:rPr>
      </w:pPr>
    </w:p>
    <w:p w14:paraId="326191E1" w14:textId="77777777" w:rsidR="00EA544F" w:rsidRPr="00864420" w:rsidRDefault="00EA544F" w:rsidP="00864420">
      <w:pPr>
        <w:tabs>
          <w:tab w:val="center" w:pos="4320"/>
        </w:tabs>
        <w:suppressAutoHyphens/>
        <w:jc w:val="center"/>
        <w:rPr>
          <w:rFonts w:ascii="Courier New" w:hAnsi="Courier New" w:cs="Courier New"/>
        </w:rPr>
      </w:pPr>
    </w:p>
    <w:p w14:paraId="642626D3" w14:textId="77777777" w:rsidR="00EA544F" w:rsidRPr="00864420" w:rsidRDefault="00EA544F" w:rsidP="00864420">
      <w:pPr>
        <w:tabs>
          <w:tab w:val="center" w:pos="4320"/>
        </w:tabs>
        <w:suppressAutoHyphens/>
        <w:jc w:val="center"/>
        <w:rPr>
          <w:rFonts w:ascii="Courier New" w:hAnsi="Courier New" w:cs="Courier New"/>
        </w:rPr>
      </w:pPr>
      <w:r w:rsidRPr="00864420">
        <w:rPr>
          <w:rFonts w:ascii="Courier New" w:hAnsi="Courier New" w:cs="Courier New"/>
        </w:rPr>
        <w:t>IDAHO POWER COMPANY</w:t>
      </w:r>
    </w:p>
    <w:p w14:paraId="26AC4E70" w14:textId="77777777" w:rsidR="00EA544F" w:rsidRPr="00864420" w:rsidRDefault="00EA544F" w:rsidP="00864420">
      <w:pPr>
        <w:tabs>
          <w:tab w:val="center" w:pos="4320"/>
        </w:tabs>
        <w:suppressAutoHyphens/>
        <w:jc w:val="center"/>
        <w:rPr>
          <w:rFonts w:ascii="Courier New" w:hAnsi="Courier New" w:cs="Courier New"/>
        </w:rPr>
      </w:pPr>
    </w:p>
    <w:p w14:paraId="3B49D3BD" w14:textId="77777777" w:rsidR="00EA544F" w:rsidRPr="00864420" w:rsidRDefault="00EA544F" w:rsidP="00864420">
      <w:pPr>
        <w:tabs>
          <w:tab w:val="center" w:pos="4320"/>
        </w:tabs>
        <w:suppressAutoHyphens/>
        <w:jc w:val="center"/>
        <w:rPr>
          <w:rFonts w:ascii="Courier New" w:hAnsi="Courier New" w:cs="Courier New"/>
        </w:rPr>
      </w:pPr>
      <w:r w:rsidRPr="00864420">
        <w:rPr>
          <w:rFonts w:ascii="Courier New" w:hAnsi="Courier New" w:cs="Courier New"/>
        </w:rPr>
        <w:t>DIRECT TESTIMONY</w:t>
      </w:r>
    </w:p>
    <w:p w14:paraId="1A4CC437" w14:textId="77777777" w:rsidR="00EA544F" w:rsidRPr="00864420" w:rsidRDefault="00EA544F" w:rsidP="00864420">
      <w:pPr>
        <w:tabs>
          <w:tab w:val="center" w:pos="4320"/>
        </w:tabs>
        <w:suppressAutoHyphens/>
        <w:jc w:val="center"/>
        <w:rPr>
          <w:rFonts w:ascii="Courier New" w:hAnsi="Courier New" w:cs="Courier New"/>
        </w:rPr>
      </w:pPr>
    </w:p>
    <w:p w14:paraId="0E10418F" w14:textId="77777777" w:rsidR="00EA544F" w:rsidRPr="00864420" w:rsidRDefault="00EA544F" w:rsidP="00864420">
      <w:pPr>
        <w:tabs>
          <w:tab w:val="center" w:pos="4320"/>
        </w:tabs>
        <w:suppressAutoHyphens/>
        <w:jc w:val="center"/>
        <w:rPr>
          <w:rFonts w:ascii="Courier New" w:hAnsi="Courier New" w:cs="Courier New"/>
        </w:rPr>
      </w:pPr>
      <w:r w:rsidRPr="00864420">
        <w:rPr>
          <w:rFonts w:ascii="Courier New" w:hAnsi="Courier New" w:cs="Courier New"/>
        </w:rPr>
        <w:t>OF</w:t>
      </w:r>
    </w:p>
    <w:p w14:paraId="20AFBAAE" w14:textId="77777777" w:rsidR="00EA544F" w:rsidRPr="00864420" w:rsidRDefault="00EA544F" w:rsidP="00864420">
      <w:pPr>
        <w:jc w:val="center"/>
        <w:rPr>
          <w:rFonts w:ascii="Courier New" w:hAnsi="Courier New" w:cs="Courier New"/>
        </w:rPr>
      </w:pPr>
    </w:p>
    <w:p w14:paraId="109973BD" w14:textId="77777777" w:rsidR="00EA544F" w:rsidRPr="00864420" w:rsidRDefault="00132CB1" w:rsidP="00864420">
      <w:pPr>
        <w:jc w:val="center"/>
        <w:rPr>
          <w:rFonts w:ascii="Courier New" w:hAnsi="Courier New" w:cs="Courier New"/>
        </w:rPr>
      </w:pPr>
      <w:r>
        <w:rPr>
          <w:rFonts w:ascii="Courier New" w:hAnsi="Courier New" w:cs="Courier New"/>
        </w:rPr>
        <w:t>JESSICA G. BRADY</w:t>
      </w:r>
    </w:p>
    <w:p w14:paraId="69F9DAEC" w14:textId="77777777" w:rsidR="00EA544F" w:rsidRPr="00864420" w:rsidRDefault="00EA544F" w:rsidP="00864420">
      <w:pPr>
        <w:pStyle w:val="Testimony"/>
        <w:widowControl/>
        <w:ind w:firstLine="0"/>
        <w:rPr>
          <w:rFonts w:ascii="Courier New" w:hAnsi="Courier New" w:cs="Courier New"/>
          <w:spacing w:val="-3"/>
        </w:rPr>
        <w:sectPr w:rsidR="00EA544F" w:rsidRPr="00864420" w:rsidSect="00022A0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2160" w:header="720" w:footer="720" w:gutter="0"/>
          <w:pgNumType w:start="1"/>
          <w:cols w:space="720"/>
          <w:vAlign w:val="center"/>
          <w:noEndnote/>
        </w:sectPr>
      </w:pPr>
    </w:p>
    <w:p w14:paraId="31507198" w14:textId="77777777" w:rsidR="00072967" w:rsidRPr="00864420" w:rsidRDefault="00072967" w:rsidP="00072967">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lastRenderedPageBreak/>
        <w:t>Q.</w:t>
      </w:r>
      <w:r>
        <w:rPr>
          <w:rFonts w:ascii="Courier New" w:hAnsi="Courier New" w:cs="Courier New"/>
        </w:rPr>
        <w:tab/>
      </w:r>
      <w:r w:rsidRPr="00864420">
        <w:rPr>
          <w:rFonts w:ascii="Courier New" w:hAnsi="Courier New" w:cs="Courier New"/>
        </w:rPr>
        <w:t>Please state your name, business address, and present position with Idaho Power Company (“Idaho Power” or “Company”).</w:t>
      </w:r>
    </w:p>
    <w:p w14:paraId="7622903C" w14:textId="77777777" w:rsidR="00072967" w:rsidRPr="00864420" w:rsidRDefault="00072967" w:rsidP="00072967">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A.</w:t>
      </w:r>
      <w:r>
        <w:rPr>
          <w:rFonts w:ascii="Courier New" w:hAnsi="Courier New" w:cs="Courier New"/>
        </w:rPr>
        <w:tab/>
      </w:r>
      <w:r w:rsidRPr="00864420">
        <w:rPr>
          <w:rFonts w:ascii="Courier New" w:hAnsi="Courier New" w:cs="Courier New"/>
        </w:rPr>
        <w:t xml:space="preserve">My name is </w:t>
      </w:r>
      <w:r w:rsidR="00132CB1">
        <w:rPr>
          <w:rFonts w:ascii="Courier New" w:hAnsi="Courier New" w:cs="Courier New"/>
        </w:rPr>
        <w:t>Jessica G. Brady</w:t>
      </w:r>
      <w:r w:rsidRPr="00864420">
        <w:rPr>
          <w:rFonts w:ascii="Courier New" w:hAnsi="Courier New" w:cs="Courier New"/>
        </w:rPr>
        <w:t xml:space="preserve">. </w:t>
      </w:r>
      <w:r>
        <w:rPr>
          <w:rFonts w:ascii="Courier New" w:hAnsi="Courier New" w:cs="Courier New"/>
        </w:rPr>
        <w:t xml:space="preserve"> </w:t>
      </w:r>
      <w:r w:rsidRPr="00864420">
        <w:rPr>
          <w:rFonts w:ascii="Courier New" w:hAnsi="Courier New" w:cs="Courier New"/>
        </w:rPr>
        <w:t xml:space="preserve">My business address is 1221 West Idaho Street, Boise, Idaho 83702. </w:t>
      </w:r>
      <w:r>
        <w:rPr>
          <w:rFonts w:ascii="Courier New" w:hAnsi="Courier New" w:cs="Courier New"/>
        </w:rPr>
        <w:t xml:space="preserve"> </w:t>
      </w:r>
      <w:r w:rsidRPr="00864420">
        <w:rPr>
          <w:rFonts w:ascii="Courier New" w:hAnsi="Courier New" w:cs="Courier New"/>
        </w:rPr>
        <w:t xml:space="preserve">I am employed by Idaho Power as a Regulatory </w:t>
      </w:r>
      <w:r w:rsidR="00132CB1">
        <w:rPr>
          <w:rFonts w:ascii="Courier New" w:hAnsi="Courier New" w:cs="Courier New"/>
        </w:rPr>
        <w:t>Analyst</w:t>
      </w:r>
      <w:r w:rsidRPr="00864420">
        <w:rPr>
          <w:rFonts w:ascii="Courier New" w:hAnsi="Courier New" w:cs="Courier New"/>
        </w:rPr>
        <w:t xml:space="preserve"> in the Regulatory Affairs Department.</w:t>
      </w:r>
    </w:p>
    <w:p w14:paraId="27043A98" w14:textId="77777777" w:rsidR="00072967" w:rsidRPr="00864420" w:rsidRDefault="00072967" w:rsidP="00072967">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Q.</w:t>
      </w:r>
      <w:r>
        <w:rPr>
          <w:rFonts w:ascii="Courier New" w:hAnsi="Courier New" w:cs="Courier New"/>
        </w:rPr>
        <w:tab/>
      </w:r>
      <w:r w:rsidRPr="00864420">
        <w:rPr>
          <w:rFonts w:ascii="Courier New" w:hAnsi="Courier New" w:cs="Courier New"/>
        </w:rPr>
        <w:t>Please describe your educational background.</w:t>
      </w:r>
    </w:p>
    <w:p w14:paraId="6848A92A" w14:textId="73BF0FB8" w:rsidR="00072967" w:rsidRDefault="00072967" w:rsidP="00072967">
      <w:pPr>
        <w:pStyle w:val="Testimony"/>
        <w:widowControl/>
        <w:tabs>
          <w:tab w:val="clear" w:pos="2160"/>
          <w:tab w:val="left" w:pos="1980"/>
        </w:tabs>
        <w:spacing w:line="456" w:lineRule="auto"/>
        <w:rPr>
          <w:rFonts w:ascii="Courier New" w:hAnsi="Courier New" w:cs="Courier New"/>
        </w:rPr>
      </w:pPr>
      <w:bookmarkStart w:id="0" w:name="OLE_LINK9"/>
      <w:bookmarkStart w:id="1" w:name="OLE_LINK10"/>
      <w:r w:rsidRPr="00DC6A8F">
        <w:rPr>
          <w:rFonts w:ascii="Courier New" w:hAnsi="Courier New" w:cs="Courier New"/>
        </w:rPr>
        <w:t>A.</w:t>
      </w:r>
      <w:r>
        <w:rPr>
          <w:rFonts w:ascii="Courier New" w:hAnsi="Courier New" w:cs="Courier New"/>
        </w:rPr>
        <w:tab/>
      </w:r>
      <w:bookmarkEnd w:id="0"/>
      <w:bookmarkEnd w:id="1"/>
      <w:r w:rsidRPr="005D33DC">
        <w:rPr>
          <w:rFonts w:ascii="Courier New" w:hAnsi="Courier New" w:cs="Courier New"/>
        </w:rPr>
        <w:t>In May of 201</w:t>
      </w:r>
      <w:r w:rsidR="00132CB1">
        <w:rPr>
          <w:rFonts w:ascii="Courier New" w:hAnsi="Courier New" w:cs="Courier New"/>
        </w:rPr>
        <w:t>6</w:t>
      </w:r>
      <w:r w:rsidRPr="005D33DC">
        <w:rPr>
          <w:rFonts w:ascii="Courier New" w:hAnsi="Courier New" w:cs="Courier New"/>
        </w:rPr>
        <w:t xml:space="preserve">, </w:t>
      </w:r>
      <w:r w:rsidR="00132CB1" w:rsidRPr="00132CB1">
        <w:rPr>
          <w:rFonts w:ascii="Courier New" w:hAnsi="Courier New" w:cs="Courier New"/>
        </w:rPr>
        <w:t>I received a Bachelor of Science degree in Economics and a Bachelor of Arts degree in Spanish from the University of Idaho</w:t>
      </w:r>
      <w:r w:rsidRPr="005D33DC">
        <w:rPr>
          <w:rFonts w:ascii="Courier New" w:hAnsi="Courier New" w:cs="Courier New"/>
        </w:rPr>
        <w:t xml:space="preserve">.  </w:t>
      </w:r>
      <w:r w:rsidR="00444B8B" w:rsidRPr="005D33DC">
        <w:rPr>
          <w:rFonts w:ascii="Courier New" w:hAnsi="Courier New" w:cs="Courier New"/>
        </w:rPr>
        <w:t>I have also attended “The Basics: Practical Regulatory Training for the Electric Industry,” an electric utility ratemaking course offered through New Mexico State University’s Center for Public Utilities</w:t>
      </w:r>
      <w:r w:rsidR="00444B8B">
        <w:rPr>
          <w:rFonts w:ascii="Courier New" w:hAnsi="Courier New" w:cs="Courier New"/>
        </w:rPr>
        <w:t xml:space="preserve"> and</w:t>
      </w:r>
      <w:r w:rsidR="00444B8B" w:rsidRPr="005D33DC">
        <w:rPr>
          <w:rFonts w:ascii="Courier New" w:hAnsi="Courier New" w:cs="Courier New"/>
        </w:rPr>
        <w:t xml:space="preserve"> “Electric Utility Fundamentals &amp; Insights,” an electric utility course offered through the Western Energy Institute</w:t>
      </w:r>
      <w:r w:rsidR="00444B8B">
        <w:rPr>
          <w:rFonts w:ascii="Courier New" w:hAnsi="Courier New" w:cs="Courier New"/>
        </w:rPr>
        <w:t>.</w:t>
      </w:r>
    </w:p>
    <w:p w14:paraId="468EA931" w14:textId="77777777" w:rsidR="00072967" w:rsidRPr="00864420" w:rsidRDefault="00072967" w:rsidP="00072967">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Q.</w:t>
      </w:r>
      <w:r>
        <w:rPr>
          <w:rFonts w:ascii="Courier New" w:hAnsi="Courier New" w:cs="Courier New"/>
        </w:rPr>
        <w:tab/>
      </w:r>
      <w:r w:rsidRPr="00864420">
        <w:rPr>
          <w:rFonts w:ascii="Courier New" w:hAnsi="Courier New" w:cs="Courier New"/>
        </w:rPr>
        <w:t>Please describe your work experience.</w:t>
      </w:r>
    </w:p>
    <w:p w14:paraId="69FD9D15" w14:textId="77777777" w:rsidR="00072967" w:rsidRDefault="00072967" w:rsidP="00072967">
      <w:pPr>
        <w:pStyle w:val="Testimony"/>
        <w:tabs>
          <w:tab w:val="clear" w:pos="2160"/>
          <w:tab w:val="left" w:pos="1980"/>
        </w:tabs>
        <w:spacing w:line="456" w:lineRule="auto"/>
        <w:rPr>
          <w:rFonts w:ascii="Courier New" w:hAnsi="Courier New" w:cs="Courier New"/>
        </w:rPr>
      </w:pPr>
      <w:r>
        <w:rPr>
          <w:rFonts w:ascii="Courier New" w:hAnsi="Courier New" w:cs="Courier New"/>
        </w:rPr>
        <w:t>A.</w:t>
      </w:r>
      <w:r>
        <w:rPr>
          <w:rFonts w:ascii="Courier New" w:hAnsi="Courier New" w:cs="Courier New"/>
        </w:rPr>
        <w:tab/>
      </w:r>
      <w:r w:rsidRPr="005D33DC">
        <w:rPr>
          <w:rFonts w:ascii="Courier New" w:hAnsi="Courier New" w:cs="Courier New"/>
        </w:rPr>
        <w:t xml:space="preserve">In </w:t>
      </w:r>
      <w:r w:rsidR="00132CB1">
        <w:rPr>
          <w:rFonts w:ascii="Courier New" w:hAnsi="Courier New" w:cs="Courier New"/>
        </w:rPr>
        <w:t>September 2021</w:t>
      </w:r>
      <w:r w:rsidRPr="005D33DC">
        <w:rPr>
          <w:rFonts w:ascii="Courier New" w:hAnsi="Courier New" w:cs="Courier New"/>
        </w:rPr>
        <w:t xml:space="preserve">, I </w:t>
      </w:r>
      <w:r>
        <w:rPr>
          <w:rFonts w:ascii="Courier New" w:hAnsi="Courier New" w:cs="Courier New"/>
        </w:rPr>
        <w:t xml:space="preserve">was hired as a Regulatory Analyst in Idaho Power’s </w:t>
      </w:r>
      <w:r w:rsidRPr="005D33DC">
        <w:rPr>
          <w:rFonts w:ascii="Courier New" w:hAnsi="Courier New" w:cs="Courier New"/>
        </w:rPr>
        <w:t>Regulatory Affairs Department</w:t>
      </w:r>
      <w:r>
        <w:rPr>
          <w:rFonts w:ascii="Courier New" w:hAnsi="Courier New" w:cs="Courier New"/>
        </w:rPr>
        <w:t xml:space="preserve">. </w:t>
      </w:r>
      <w:r w:rsidRPr="005D33DC">
        <w:rPr>
          <w:rFonts w:ascii="Courier New" w:hAnsi="Courier New" w:cs="Courier New"/>
        </w:rPr>
        <w:t xml:space="preserve"> As a Regulatory </w:t>
      </w:r>
      <w:r w:rsidR="00C27C8F">
        <w:rPr>
          <w:rFonts w:ascii="Courier New" w:hAnsi="Courier New" w:cs="Courier New"/>
        </w:rPr>
        <w:t>Analyst</w:t>
      </w:r>
      <w:r w:rsidRPr="005D33DC">
        <w:rPr>
          <w:rFonts w:ascii="Courier New" w:hAnsi="Courier New" w:cs="Courier New"/>
        </w:rPr>
        <w:t>, I provide support for the Company’s regulatory activities, including compliance reporting, financial analysis, and the development of revenue forecasts for regulatory filings.</w:t>
      </w:r>
      <w:r w:rsidR="00FA4429">
        <w:rPr>
          <w:rFonts w:ascii="Courier New" w:hAnsi="Courier New" w:cs="Courier New"/>
        </w:rPr>
        <w:t xml:space="preserve"> I am also responsible for the Company’s power cost filings in both Idaho and Oregon.</w:t>
      </w:r>
    </w:p>
    <w:p w14:paraId="41801821" w14:textId="5A765521" w:rsidR="00DA0C21" w:rsidRDefault="00DA0C21" w:rsidP="00072967">
      <w:pPr>
        <w:pStyle w:val="Testimony"/>
        <w:tabs>
          <w:tab w:val="clear" w:pos="2160"/>
          <w:tab w:val="left" w:pos="1980"/>
        </w:tabs>
        <w:spacing w:line="456" w:lineRule="auto"/>
        <w:rPr>
          <w:rFonts w:ascii="Courier New" w:hAnsi="Courier New" w:cs="Courier New"/>
        </w:rPr>
      </w:pPr>
      <w:r w:rsidRPr="00DA0C21">
        <w:rPr>
          <w:rFonts w:ascii="Courier New" w:hAnsi="Courier New" w:cs="Courier New"/>
        </w:rPr>
        <w:lastRenderedPageBreak/>
        <w:t>Prior to Idaho Power, I worked for five years at Clearwater Analytics, a provider of investment accounting and reporting software. I held various roles at Clearwater</w:t>
      </w:r>
      <w:r w:rsidR="00BA6753">
        <w:rPr>
          <w:rFonts w:ascii="Courier New" w:hAnsi="Courier New" w:cs="Courier New"/>
        </w:rPr>
        <w:t xml:space="preserve"> Analytics</w:t>
      </w:r>
      <w:r w:rsidRPr="00DA0C21">
        <w:rPr>
          <w:rFonts w:ascii="Courier New" w:hAnsi="Courier New" w:cs="Courier New"/>
        </w:rPr>
        <w:t xml:space="preserve"> but was primarily focused on customer success and relationship management. I gained a breadth of knowledge in investments and the use of proprietary software to streamline the operations of a company’s finance and accounting teams. I spent my last year at Clearwater developing a training program focused on providing new hires with the technical skills to be successful in an operations role.</w:t>
      </w:r>
    </w:p>
    <w:p w14:paraId="6A2A7A3C" w14:textId="77777777" w:rsidR="00EA544F" w:rsidRPr="00864420" w:rsidRDefault="00022A04" w:rsidP="003247AC">
      <w:pPr>
        <w:pStyle w:val="Testimony"/>
        <w:tabs>
          <w:tab w:val="clear" w:pos="2160"/>
          <w:tab w:val="left" w:pos="1980"/>
        </w:tabs>
        <w:spacing w:line="456" w:lineRule="auto"/>
        <w:rPr>
          <w:rFonts w:ascii="Courier New" w:hAnsi="Courier New" w:cs="Courier New"/>
        </w:rPr>
      </w:pPr>
      <w:r>
        <w:rPr>
          <w:rFonts w:ascii="Courier New" w:hAnsi="Courier New" w:cs="Courier New"/>
        </w:rPr>
        <w:t>Q.</w:t>
      </w:r>
      <w:r>
        <w:rPr>
          <w:rFonts w:ascii="Courier New" w:hAnsi="Courier New" w:cs="Courier New"/>
        </w:rPr>
        <w:tab/>
      </w:r>
      <w:r w:rsidR="00EA544F" w:rsidRPr="00864420">
        <w:rPr>
          <w:rFonts w:ascii="Courier New" w:hAnsi="Courier New" w:cs="Courier New"/>
        </w:rPr>
        <w:t>What is the Company requesting in this case?</w:t>
      </w:r>
    </w:p>
    <w:p w14:paraId="7AA03E3D" w14:textId="5D3CA13D" w:rsidR="00F928E0" w:rsidRDefault="00022A04" w:rsidP="00864420">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A.</w:t>
      </w:r>
      <w:r>
        <w:rPr>
          <w:rFonts w:ascii="Courier New" w:hAnsi="Courier New" w:cs="Courier New"/>
        </w:rPr>
        <w:tab/>
      </w:r>
      <w:r w:rsidR="00EA544F" w:rsidRPr="00864420">
        <w:rPr>
          <w:rFonts w:ascii="Courier New" w:hAnsi="Courier New" w:cs="Courier New"/>
        </w:rPr>
        <w:t xml:space="preserve">The Company is requesting approval of its </w:t>
      </w:r>
      <w:r w:rsidR="00202300">
        <w:rPr>
          <w:rFonts w:ascii="Courier New" w:hAnsi="Courier New" w:cs="Courier New"/>
        </w:rPr>
        <w:t>2023</w:t>
      </w:r>
      <w:r w:rsidR="008F0DFE" w:rsidRPr="00864420">
        <w:rPr>
          <w:rFonts w:ascii="Courier New" w:hAnsi="Courier New" w:cs="Courier New"/>
        </w:rPr>
        <w:t>-</w:t>
      </w:r>
      <w:r w:rsidR="00202300">
        <w:rPr>
          <w:rFonts w:ascii="Courier New" w:hAnsi="Courier New" w:cs="Courier New"/>
        </w:rPr>
        <w:t>2024</w:t>
      </w:r>
      <w:r w:rsidR="00EA544F" w:rsidRPr="00864420">
        <w:rPr>
          <w:rFonts w:ascii="Courier New" w:hAnsi="Courier New" w:cs="Courier New"/>
        </w:rPr>
        <w:t xml:space="preserve"> Power Cost Adjustment (“PCA”) rates to become effective June 1, </w:t>
      </w:r>
      <w:r w:rsidR="00202300">
        <w:rPr>
          <w:rFonts w:ascii="Courier New" w:hAnsi="Courier New" w:cs="Courier New"/>
        </w:rPr>
        <w:t>2023</w:t>
      </w:r>
      <w:r w:rsidR="00EA544F" w:rsidRPr="00864420">
        <w:rPr>
          <w:rFonts w:ascii="Courier New" w:hAnsi="Courier New" w:cs="Courier New"/>
        </w:rPr>
        <w:t>.</w:t>
      </w:r>
      <w:r w:rsidR="003C34F6" w:rsidRPr="00864420">
        <w:rPr>
          <w:rFonts w:ascii="Courier New" w:hAnsi="Courier New" w:cs="Courier New"/>
        </w:rPr>
        <w:t xml:space="preserve"> </w:t>
      </w:r>
      <w:r w:rsidR="00F928E0">
        <w:rPr>
          <w:rFonts w:ascii="Courier New" w:hAnsi="Courier New" w:cs="Courier New"/>
        </w:rPr>
        <w:t xml:space="preserve"> </w:t>
      </w:r>
      <w:r w:rsidR="00EA544F" w:rsidRPr="00864420">
        <w:rPr>
          <w:rFonts w:ascii="Courier New" w:hAnsi="Courier New" w:cs="Courier New"/>
        </w:rPr>
        <w:t xml:space="preserve">If approved, the </w:t>
      </w:r>
      <w:r w:rsidR="00202300">
        <w:rPr>
          <w:rFonts w:ascii="Courier New" w:hAnsi="Courier New" w:cs="Courier New"/>
        </w:rPr>
        <w:t>2023</w:t>
      </w:r>
      <w:r w:rsidR="008F0DFE" w:rsidRPr="00864420">
        <w:rPr>
          <w:rFonts w:ascii="Courier New" w:hAnsi="Courier New" w:cs="Courier New"/>
        </w:rPr>
        <w:t>-</w:t>
      </w:r>
      <w:r w:rsidR="00202300">
        <w:rPr>
          <w:rFonts w:ascii="Courier New" w:hAnsi="Courier New" w:cs="Courier New"/>
        </w:rPr>
        <w:t>2024</w:t>
      </w:r>
      <w:r w:rsidR="00EA544F" w:rsidRPr="00864420">
        <w:rPr>
          <w:rFonts w:ascii="Courier New" w:hAnsi="Courier New" w:cs="Courier New"/>
        </w:rPr>
        <w:t xml:space="preserve"> PCA</w:t>
      </w:r>
    </w:p>
    <w:p w14:paraId="7080A052" w14:textId="762977B7" w:rsidR="00EA544F" w:rsidRPr="00864420" w:rsidRDefault="00EA544F" w:rsidP="00F928E0">
      <w:pPr>
        <w:pStyle w:val="Testimony"/>
        <w:widowControl/>
        <w:tabs>
          <w:tab w:val="clear" w:pos="2160"/>
          <w:tab w:val="left" w:pos="1980"/>
        </w:tabs>
        <w:spacing w:line="456" w:lineRule="auto"/>
        <w:ind w:firstLine="0"/>
        <w:rPr>
          <w:rFonts w:ascii="Courier New" w:hAnsi="Courier New" w:cs="Courier New"/>
        </w:rPr>
      </w:pPr>
      <w:r w:rsidRPr="00864420">
        <w:rPr>
          <w:rFonts w:ascii="Courier New" w:hAnsi="Courier New" w:cs="Courier New"/>
        </w:rPr>
        <w:t>will result in a</w:t>
      </w:r>
      <w:r w:rsidR="003247AC">
        <w:rPr>
          <w:rFonts w:ascii="Courier New" w:hAnsi="Courier New" w:cs="Courier New"/>
        </w:rPr>
        <w:t>n</w:t>
      </w:r>
      <w:r w:rsidRPr="00864420">
        <w:rPr>
          <w:rFonts w:ascii="Courier New" w:hAnsi="Courier New" w:cs="Courier New"/>
        </w:rPr>
        <w:t xml:space="preserve"> </w:t>
      </w:r>
      <w:r w:rsidR="003247AC">
        <w:rPr>
          <w:rFonts w:ascii="Courier New" w:hAnsi="Courier New" w:cs="Courier New"/>
        </w:rPr>
        <w:t>in</w:t>
      </w:r>
      <w:r w:rsidRPr="00864420">
        <w:rPr>
          <w:rFonts w:ascii="Courier New" w:hAnsi="Courier New" w:cs="Courier New"/>
        </w:rPr>
        <w:t>crease in total billed revenue of approximately $</w:t>
      </w:r>
      <w:r w:rsidR="00E11049">
        <w:rPr>
          <w:rFonts w:ascii="Courier New" w:hAnsi="Courier New" w:cs="Courier New"/>
        </w:rPr>
        <w:t>200.2</w:t>
      </w:r>
      <w:r w:rsidR="00202300">
        <w:rPr>
          <w:rFonts w:ascii="Courier New" w:hAnsi="Courier New" w:cs="Courier New"/>
        </w:rPr>
        <w:t xml:space="preserve"> </w:t>
      </w:r>
      <w:r w:rsidRPr="00864420">
        <w:rPr>
          <w:rFonts w:ascii="Courier New" w:hAnsi="Courier New" w:cs="Courier New"/>
        </w:rPr>
        <w:t>million,</w:t>
      </w:r>
      <w:r w:rsidR="003247AC">
        <w:rPr>
          <w:rFonts w:ascii="Courier New" w:hAnsi="Courier New" w:cs="Courier New"/>
        </w:rPr>
        <w:t xml:space="preserve"> or</w:t>
      </w:r>
      <w:r w:rsidRPr="00864420">
        <w:rPr>
          <w:rFonts w:ascii="Courier New" w:hAnsi="Courier New" w:cs="Courier New"/>
        </w:rPr>
        <w:t xml:space="preserve"> </w:t>
      </w:r>
      <w:r w:rsidR="00E11049">
        <w:rPr>
          <w:rFonts w:ascii="Courier New" w:hAnsi="Courier New" w:cs="Courier New"/>
        </w:rPr>
        <w:t>14.68</w:t>
      </w:r>
      <w:r w:rsidRPr="00444B8B">
        <w:rPr>
          <w:rFonts w:ascii="Courier New" w:hAnsi="Courier New" w:cs="Courier New"/>
        </w:rPr>
        <w:t xml:space="preserve"> </w:t>
      </w:r>
      <w:r w:rsidRPr="00864420">
        <w:rPr>
          <w:rFonts w:ascii="Courier New" w:hAnsi="Courier New" w:cs="Courier New"/>
        </w:rPr>
        <w:t>percent.</w:t>
      </w:r>
    </w:p>
    <w:p w14:paraId="119354DD" w14:textId="77777777" w:rsidR="00EA544F" w:rsidRPr="00864420" w:rsidRDefault="00022A04" w:rsidP="00864420">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Q.</w:t>
      </w:r>
      <w:r>
        <w:rPr>
          <w:rFonts w:ascii="Courier New" w:hAnsi="Courier New" w:cs="Courier New"/>
        </w:rPr>
        <w:tab/>
      </w:r>
      <w:r w:rsidR="00EA544F" w:rsidRPr="00864420">
        <w:rPr>
          <w:rFonts w:ascii="Courier New" w:hAnsi="Courier New" w:cs="Courier New"/>
        </w:rPr>
        <w:t xml:space="preserve">How is </w:t>
      </w:r>
      <w:r w:rsidR="00072967">
        <w:rPr>
          <w:rFonts w:ascii="Courier New" w:hAnsi="Courier New" w:cs="Courier New"/>
        </w:rPr>
        <w:t>your testimony</w:t>
      </w:r>
      <w:r w:rsidR="00EA544F" w:rsidRPr="00864420">
        <w:rPr>
          <w:rFonts w:ascii="Courier New" w:hAnsi="Courier New" w:cs="Courier New"/>
        </w:rPr>
        <w:t xml:space="preserve"> organized?</w:t>
      </w:r>
    </w:p>
    <w:p w14:paraId="5C2B6B7D" w14:textId="06D19CB7" w:rsidR="00EA544F" w:rsidRPr="00864420" w:rsidRDefault="00022A04" w:rsidP="00F228E3">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A.</w:t>
      </w:r>
      <w:r>
        <w:rPr>
          <w:rFonts w:ascii="Courier New" w:hAnsi="Courier New" w:cs="Courier New"/>
        </w:rPr>
        <w:tab/>
      </w:r>
      <w:r w:rsidR="00EA544F" w:rsidRPr="003F08E3">
        <w:rPr>
          <w:rFonts w:ascii="Courier New" w:hAnsi="Courier New" w:cs="Courier New"/>
        </w:rPr>
        <w:t xml:space="preserve">My testimony </w:t>
      </w:r>
      <w:r w:rsidR="00F928E0" w:rsidRPr="003F08E3">
        <w:rPr>
          <w:rFonts w:ascii="Courier New" w:hAnsi="Courier New" w:cs="Courier New"/>
        </w:rPr>
        <w:t>consists of</w:t>
      </w:r>
      <w:r w:rsidR="00EA544F" w:rsidRPr="003F08E3">
        <w:rPr>
          <w:rFonts w:ascii="Courier New" w:hAnsi="Courier New" w:cs="Courier New"/>
        </w:rPr>
        <w:t xml:space="preserve"> </w:t>
      </w:r>
      <w:r w:rsidR="00D132B8">
        <w:rPr>
          <w:rFonts w:ascii="Courier New" w:hAnsi="Courier New" w:cs="Courier New"/>
        </w:rPr>
        <w:t>four</w:t>
      </w:r>
      <w:r w:rsidR="00EA544F" w:rsidRPr="003F08E3">
        <w:rPr>
          <w:rFonts w:ascii="Courier New" w:hAnsi="Courier New" w:cs="Courier New"/>
        </w:rPr>
        <w:t xml:space="preserve"> sections.</w:t>
      </w:r>
      <w:r w:rsidR="003C34F6" w:rsidRPr="003F08E3">
        <w:rPr>
          <w:rFonts w:ascii="Courier New" w:hAnsi="Courier New" w:cs="Courier New"/>
        </w:rPr>
        <w:t xml:space="preserve"> </w:t>
      </w:r>
      <w:r w:rsidR="00EA544F" w:rsidRPr="003F08E3">
        <w:rPr>
          <w:rFonts w:ascii="Courier New" w:hAnsi="Courier New" w:cs="Courier New"/>
        </w:rPr>
        <w:t>In the first section, I provide an overview of the PCA.</w:t>
      </w:r>
      <w:r w:rsidR="003C34F6" w:rsidRPr="003F08E3">
        <w:rPr>
          <w:rFonts w:ascii="Courier New" w:hAnsi="Courier New" w:cs="Courier New"/>
        </w:rPr>
        <w:t xml:space="preserve"> </w:t>
      </w:r>
      <w:r w:rsidR="00F928E0" w:rsidRPr="003F08E3">
        <w:rPr>
          <w:rFonts w:ascii="Courier New" w:hAnsi="Courier New" w:cs="Courier New"/>
        </w:rPr>
        <w:t xml:space="preserve"> </w:t>
      </w:r>
      <w:r w:rsidR="00EA544F" w:rsidRPr="003F08E3">
        <w:rPr>
          <w:rFonts w:ascii="Courier New" w:hAnsi="Courier New" w:cs="Courier New"/>
        </w:rPr>
        <w:t xml:space="preserve">In the second section, I detail the </w:t>
      </w:r>
      <w:r w:rsidR="00202300">
        <w:rPr>
          <w:rFonts w:ascii="Courier New" w:hAnsi="Courier New" w:cs="Courier New"/>
        </w:rPr>
        <w:t>2023</w:t>
      </w:r>
      <w:r w:rsidR="008F0DFE" w:rsidRPr="003F08E3">
        <w:rPr>
          <w:rFonts w:ascii="Courier New" w:hAnsi="Courier New" w:cs="Courier New"/>
        </w:rPr>
        <w:t>-</w:t>
      </w:r>
      <w:r w:rsidR="00202300">
        <w:rPr>
          <w:rFonts w:ascii="Courier New" w:hAnsi="Courier New" w:cs="Courier New"/>
        </w:rPr>
        <w:t>2024</w:t>
      </w:r>
      <w:r w:rsidR="00EA544F" w:rsidRPr="003F08E3">
        <w:rPr>
          <w:rFonts w:ascii="Courier New" w:hAnsi="Courier New" w:cs="Courier New"/>
        </w:rPr>
        <w:t xml:space="preserve"> PCA amount</w:t>
      </w:r>
      <w:r w:rsidR="001771E6">
        <w:rPr>
          <w:rFonts w:ascii="Courier New" w:hAnsi="Courier New" w:cs="Courier New"/>
        </w:rPr>
        <w:t xml:space="preserve"> in comparison to last year’s PCA amount</w:t>
      </w:r>
      <w:r w:rsidR="00EA544F" w:rsidRPr="003F08E3">
        <w:rPr>
          <w:rFonts w:ascii="Courier New" w:hAnsi="Courier New" w:cs="Courier New"/>
        </w:rPr>
        <w:t xml:space="preserve">, identify and discuss the main factors contributing to this </w:t>
      </w:r>
      <w:r w:rsidR="001771E6">
        <w:rPr>
          <w:rFonts w:ascii="Courier New" w:hAnsi="Courier New" w:cs="Courier New"/>
        </w:rPr>
        <w:t>change</w:t>
      </w:r>
      <w:r w:rsidR="00F228E3">
        <w:rPr>
          <w:rFonts w:ascii="Courier New" w:hAnsi="Courier New" w:cs="Courier New"/>
        </w:rPr>
        <w:t xml:space="preserve">, and present the quantification of the </w:t>
      </w:r>
      <w:r w:rsidR="00202300">
        <w:rPr>
          <w:rFonts w:ascii="Courier New" w:hAnsi="Courier New" w:cs="Courier New"/>
        </w:rPr>
        <w:t>2023</w:t>
      </w:r>
      <w:r w:rsidR="00F228E3">
        <w:rPr>
          <w:rFonts w:ascii="Courier New" w:hAnsi="Courier New" w:cs="Courier New"/>
        </w:rPr>
        <w:t>-</w:t>
      </w:r>
      <w:r w:rsidR="00202300">
        <w:rPr>
          <w:rFonts w:ascii="Courier New" w:hAnsi="Courier New" w:cs="Courier New"/>
        </w:rPr>
        <w:t>2024</w:t>
      </w:r>
      <w:r w:rsidR="00F228E3">
        <w:rPr>
          <w:rFonts w:ascii="Courier New" w:hAnsi="Courier New" w:cs="Courier New"/>
        </w:rPr>
        <w:t xml:space="preserve"> PCA rates to become effective June 1, </w:t>
      </w:r>
      <w:r w:rsidR="00202300">
        <w:rPr>
          <w:rFonts w:ascii="Courier New" w:hAnsi="Courier New" w:cs="Courier New"/>
        </w:rPr>
        <w:t>2023</w:t>
      </w:r>
      <w:r w:rsidR="00DC6A8F" w:rsidRPr="003F08E3">
        <w:rPr>
          <w:rFonts w:ascii="Courier New" w:hAnsi="Courier New" w:cs="Courier New"/>
        </w:rPr>
        <w:t xml:space="preserve">. </w:t>
      </w:r>
      <w:r w:rsidR="003F08E3" w:rsidRPr="003F08E3">
        <w:rPr>
          <w:rFonts w:ascii="Courier New" w:hAnsi="Courier New" w:cs="Courier New"/>
        </w:rPr>
        <w:t xml:space="preserve"> </w:t>
      </w:r>
      <w:r w:rsidR="00F228E3" w:rsidRPr="005D33DC">
        <w:rPr>
          <w:rFonts w:ascii="Courier New" w:hAnsi="Courier New" w:cs="Courier New"/>
        </w:rPr>
        <w:t xml:space="preserve">In the third section, I discuss </w:t>
      </w:r>
      <w:r w:rsidR="003A1A4B">
        <w:rPr>
          <w:rFonts w:ascii="Courier New" w:hAnsi="Courier New" w:cs="Courier New"/>
        </w:rPr>
        <w:lastRenderedPageBreak/>
        <w:t>the</w:t>
      </w:r>
      <w:r w:rsidR="001D3F2A">
        <w:rPr>
          <w:rFonts w:ascii="Courier New" w:hAnsi="Courier New" w:cs="Courier New"/>
        </w:rPr>
        <w:t xml:space="preserve"> </w:t>
      </w:r>
      <w:r w:rsidR="00F228E3" w:rsidRPr="005D33DC">
        <w:rPr>
          <w:rFonts w:ascii="Courier New" w:hAnsi="Courier New" w:cs="Courier New"/>
        </w:rPr>
        <w:t>additional PCA component related to</w:t>
      </w:r>
      <w:r w:rsidR="00F228E3">
        <w:rPr>
          <w:rFonts w:ascii="Courier New" w:hAnsi="Courier New" w:cs="Courier New"/>
        </w:rPr>
        <w:t xml:space="preserve"> revenue sharing. </w:t>
      </w:r>
      <w:r w:rsidR="00DC6A8F" w:rsidRPr="003F08E3">
        <w:rPr>
          <w:rFonts w:ascii="Courier New" w:hAnsi="Courier New" w:cs="Courier New"/>
        </w:rPr>
        <w:t xml:space="preserve">In the </w:t>
      </w:r>
      <w:r w:rsidR="00F228E3">
        <w:rPr>
          <w:rFonts w:ascii="Courier New" w:hAnsi="Courier New" w:cs="Courier New"/>
        </w:rPr>
        <w:t>final</w:t>
      </w:r>
      <w:r w:rsidR="00DC6A8F" w:rsidRPr="003F08E3">
        <w:rPr>
          <w:rFonts w:ascii="Courier New" w:hAnsi="Courier New" w:cs="Courier New"/>
        </w:rPr>
        <w:t xml:space="preserve"> section, I detail the net customer impact of the </w:t>
      </w:r>
      <w:r w:rsidR="00202300">
        <w:rPr>
          <w:rFonts w:ascii="Courier New" w:hAnsi="Courier New" w:cs="Courier New"/>
        </w:rPr>
        <w:t>2023</w:t>
      </w:r>
      <w:r w:rsidR="00DC6A8F" w:rsidRPr="003F08E3">
        <w:rPr>
          <w:rFonts w:ascii="Courier New" w:hAnsi="Courier New" w:cs="Courier New"/>
        </w:rPr>
        <w:t>-</w:t>
      </w:r>
      <w:r w:rsidR="00202300">
        <w:rPr>
          <w:rFonts w:ascii="Courier New" w:hAnsi="Courier New" w:cs="Courier New"/>
        </w:rPr>
        <w:t>2024</w:t>
      </w:r>
      <w:r w:rsidR="00DC6A8F" w:rsidRPr="003F08E3">
        <w:rPr>
          <w:rFonts w:ascii="Courier New" w:hAnsi="Courier New" w:cs="Courier New"/>
        </w:rPr>
        <w:t xml:space="preserve"> PCA rates if approved as filed. </w:t>
      </w:r>
    </w:p>
    <w:p w14:paraId="08C78603" w14:textId="77777777" w:rsidR="00EA544F" w:rsidRPr="00864420" w:rsidRDefault="00022A04" w:rsidP="00864420">
      <w:pPr>
        <w:pStyle w:val="Testimony"/>
        <w:widowControl/>
        <w:tabs>
          <w:tab w:val="clear" w:pos="2160"/>
        </w:tabs>
        <w:spacing w:line="456" w:lineRule="auto"/>
        <w:ind w:firstLine="0"/>
        <w:jc w:val="center"/>
        <w:rPr>
          <w:rFonts w:ascii="Courier New" w:hAnsi="Courier New" w:cs="Courier New"/>
          <w:b/>
          <w:u w:val="single"/>
        </w:rPr>
      </w:pPr>
      <w:r>
        <w:rPr>
          <w:rFonts w:ascii="Courier New" w:hAnsi="Courier New" w:cs="Courier New"/>
          <w:b/>
        </w:rPr>
        <w:t>I</w:t>
      </w:r>
      <w:r w:rsidR="00EA544F" w:rsidRPr="00864420">
        <w:rPr>
          <w:rFonts w:ascii="Courier New" w:hAnsi="Courier New" w:cs="Courier New"/>
          <w:b/>
        </w:rPr>
        <w:t>.</w:t>
      </w:r>
      <w:r>
        <w:rPr>
          <w:rFonts w:ascii="Courier New" w:hAnsi="Courier New" w:cs="Courier New"/>
          <w:b/>
        </w:rPr>
        <w:t xml:space="preserve"> </w:t>
      </w:r>
      <w:r w:rsidR="003C34F6" w:rsidRPr="00864420">
        <w:rPr>
          <w:rFonts w:ascii="Courier New" w:hAnsi="Courier New" w:cs="Courier New"/>
          <w:b/>
        </w:rPr>
        <w:t xml:space="preserve"> </w:t>
      </w:r>
      <w:r w:rsidR="00EA544F" w:rsidRPr="00864420">
        <w:rPr>
          <w:rFonts w:ascii="Courier New" w:hAnsi="Courier New" w:cs="Courier New"/>
          <w:b/>
          <w:u w:val="single"/>
        </w:rPr>
        <w:t>PCA OVERVIEW</w:t>
      </w:r>
    </w:p>
    <w:p w14:paraId="696CCE45" w14:textId="77777777" w:rsidR="00EA544F" w:rsidRPr="00864420" w:rsidRDefault="00022A04" w:rsidP="00864420">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Q.</w:t>
      </w:r>
      <w:r>
        <w:rPr>
          <w:rFonts w:ascii="Courier New" w:hAnsi="Courier New" w:cs="Courier New"/>
        </w:rPr>
        <w:tab/>
      </w:r>
      <w:r w:rsidR="00EA544F" w:rsidRPr="00864420">
        <w:rPr>
          <w:rFonts w:ascii="Courier New" w:hAnsi="Courier New" w:cs="Courier New"/>
        </w:rPr>
        <w:t>What is the purpose of the PCA</w:t>
      </w:r>
      <w:r w:rsidR="00FA4429">
        <w:rPr>
          <w:rFonts w:ascii="Courier New" w:hAnsi="Courier New" w:cs="Courier New"/>
        </w:rPr>
        <w:t>?</w:t>
      </w:r>
    </w:p>
    <w:p w14:paraId="0E321B37" w14:textId="39A89BCF" w:rsidR="00EA544F" w:rsidRDefault="00022A04" w:rsidP="00864420">
      <w:pPr>
        <w:pStyle w:val="Testimony"/>
        <w:widowControl/>
        <w:tabs>
          <w:tab w:val="clear" w:pos="2160"/>
          <w:tab w:val="left" w:pos="1980"/>
        </w:tabs>
        <w:spacing w:line="456" w:lineRule="auto"/>
        <w:rPr>
          <w:rFonts w:ascii="Courier New" w:hAnsi="Courier New" w:cs="Courier New"/>
          <w:color w:val="C00000"/>
        </w:rPr>
      </w:pPr>
      <w:r>
        <w:rPr>
          <w:rFonts w:ascii="Courier New" w:hAnsi="Courier New" w:cs="Courier New"/>
        </w:rPr>
        <w:t>A.</w:t>
      </w:r>
      <w:r>
        <w:rPr>
          <w:rFonts w:ascii="Courier New" w:hAnsi="Courier New" w:cs="Courier New"/>
        </w:rPr>
        <w:tab/>
      </w:r>
      <w:r w:rsidR="00EA544F" w:rsidRPr="00864420">
        <w:rPr>
          <w:rFonts w:ascii="Courier New" w:hAnsi="Courier New" w:cs="Courier New"/>
        </w:rPr>
        <w:t>The PCA is a rate mechanism that quantifies and tracks annual differences between actual Net Power Supply Expenses (“NPSE”) and the normalized or “base level” of NPSE recovered in the Company’s base rates, resulting in a credit or surcharge that is updated annually on June 1.</w:t>
      </w:r>
      <w:r w:rsidR="003C34F6" w:rsidRPr="00864420">
        <w:rPr>
          <w:rFonts w:ascii="Courier New" w:hAnsi="Courier New" w:cs="Courier New"/>
        </w:rPr>
        <w:t xml:space="preserve"> </w:t>
      </w:r>
      <w:r w:rsidR="00EA544F" w:rsidRPr="00864420">
        <w:rPr>
          <w:rFonts w:ascii="Courier New" w:hAnsi="Courier New" w:cs="Courier New"/>
        </w:rPr>
        <w:t xml:space="preserve">The PCA mechanism </w:t>
      </w:r>
      <w:r w:rsidR="003C34F6" w:rsidRPr="00864420">
        <w:rPr>
          <w:rFonts w:ascii="Courier New" w:hAnsi="Courier New" w:cs="Courier New"/>
        </w:rPr>
        <w:t xml:space="preserve">uses </w:t>
      </w:r>
      <w:r w:rsidR="00EA544F" w:rsidRPr="00864420">
        <w:rPr>
          <w:rFonts w:ascii="Courier New" w:hAnsi="Courier New" w:cs="Courier New"/>
        </w:rPr>
        <w:t xml:space="preserve">a 12-month test period of April through March (“PCA Year”) and </w:t>
      </w:r>
      <w:r w:rsidR="003C34F6" w:rsidRPr="00864420">
        <w:rPr>
          <w:rFonts w:ascii="Courier New" w:hAnsi="Courier New" w:cs="Courier New"/>
        </w:rPr>
        <w:t>includes</w:t>
      </w:r>
      <w:r w:rsidR="00EA544F" w:rsidRPr="00864420">
        <w:rPr>
          <w:rFonts w:ascii="Courier New" w:hAnsi="Courier New" w:cs="Courier New"/>
        </w:rPr>
        <w:t xml:space="preserve"> a forecast component and a</w:t>
      </w:r>
      <w:r w:rsidR="00501F8A">
        <w:rPr>
          <w:rFonts w:ascii="Courier New" w:hAnsi="Courier New" w:cs="Courier New"/>
        </w:rPr>
        <w:t xml:space="preserve"> </w:t>
      </w:r>
      <w:r w:rsidR="00FA4429">
        <w:rPr>
          <w:rFonts w:ascii="Courier New" w:hAnsi="Courier New" w:cs="Courier New"/>
        </w:rPr>
        <w:t>B</w:t>
      </w:r>
      <w:r w:rsidR="00501F8A">
        <w:rPr>
          <w:rFonts w:ascii="Courier New" w:hAnsi="Courier New" w:cs="Courier New"/>
        </w:rPr>
        <w:t xml:space="preserve">alancing </w:t>
      </w:r>
      <w:r w:rsidR="00FA4429">
        <w:rPr>
          <w:rFonts w:ascii="Courier New" w:hAnsi="Courier New" w:cs="Courier New"/>
        </w:rPr>
        <w:t>A</w:t>
      </w:r>
      <w:r w:rsidR="00501F8A">
        <w:rPr>
          <w:rFonts w:ascii="Courier New" w:hAnsi="Courier New" w:cs="Courier New"/>
        </w:rPr>
        <w:t>djustment</w:t>
      </w:r>
      <w:r w:rsidR="00FA4429">
        <w:rPr>
          <w:rFonts w:ascii="Courier New" w:hAnsi="Courier New" w:cs="Courier New"/>
        </w:rPr>
        <w:t>, formerly referred to as the “true-up” and the “true-up of the true-up</w:t>
      </w:r>
      <w:r w:rsidR="00587EAC">
        <w:rPr>
          <w:rFonts w:ascii="Courier New" w:hAnsi="Courier New" w:cs="Courier New"/>
        </w:rPr>
        <w:t>”</w:t>
      </w:r>
      <w:r w:rsidR="00CB5B1A">
        <w:rPr>
          <w:rFonts w:ascii="Courier New" w:hAnsi="Courier New" w:cs="Courier New"/>
        </w:rPr>
        <w:t xml:space="preserve">. </w:t>
      </w:r>
      <w:r w:rsidR="00EA544F" w:rsidRPr="00864420">
        <w:rPr>
          <w:rFonts w:ascii="Courier New" w:hAnsi="Courier New" w:cs="Courier New"/>
        </w:rPr>
        <w:t xml:space="preserve">The forecast component represents the difference between the </w:t>
      </w:r>
      <w:r w:rsidR="003C34F6" w:rsidRPr="00E8029E">
        <w:rPr>
          <w:rFonts w:ascii="Courier New" w:hAnsi="Courier New" w:cs="Courier New"/>
        </w:rPr>
        <w:t xml:space="preserve">Company’s </w:t>
      </w:r>
      <w:r w:rsidR="00EA544F" w:rsidRPr="00864420">
        <w:rPr>
          <w:rFonts w:ascii="Courier New" w:hAnsi="Courier New" w:cs="Courier New"/>
        </w:rPr>
        <w:t>NPSE forecast from the March Operating Plan and base level NPSE recovered in the Company’s base rates.</w:t>
      </w:r>
      <w:r w:rsidR="00501F8A">
        <w:rPr>
          <w:rFonts w:ascii="Courier New" w:hAnsi="Courier New" w:cs="Courier New"/>
        </w:rPr>
        <w:t xml:space="preserve"> </w:t>
      </w:r>
      <w:r w:rsidR="00EA544F" w:rsidRPr="00501F8A">
        <w:rPr>
          <w:rFonts w:ascii="Courier New" w:hAnsi="Courier New" w:cs="Courier New"/>
        </w:rPr>
        <w:t xml:space="preserve">The </w:t>
      </w:r>
      <w:r w:rsidR="00587EAC">
        <w:rPr>
          <w:rFonts w:ascii="Courier New" w:hAnsi="Courier New" w:cs="Courier New"/>
        </w:rPr>
        <w:t>B</w:t>
      </w:r>
      <w:r w:rsidR="00501F8A" w:rsidRPr="00501F8A">
        <w:rPr>
          <w:rFonts w:ascii="Courier New" w:hAnsi="Courier New" w:cs="Courier New"/>
        </w:rPr>
        <w:t>alancing</w:t>
      </w:r>
      <w:r w:rsidR="00EA544F" w:rsidRPr="00501F8A">
        <w:rPr>
          <w:rFonts w:ascii="Courier New" w:hAnsi="Courier New" w:cs="Courier New"/>
        </w:rPr>
        <w:t xml:space="preserve"> </w:t>
      </w:r>
      <w:r w:rsidR="00587EAC">
        <w:rPr>
          <w:rFonts w:ascii="Courier New" w:hAnsi="Courier New" w:cs="Courier New"/>
        </w:rPr>
        <w:t>A</w:t>
      </w:r>
      <w:r w:rsidR="00CB5B1A">
        <w:rPr>
          <w:rFonts w:ascii="Courier New" w:hAnsi="Courier New" w:cs="Courier New"/>
        </w:rPr>
        <w:t>djustment</w:t>
      </w:r>
      <w:r w:rsidR="00A01DDD" w:rsidRPr="00501F8A">
        <w:rPr>
          <w:rFonts w:ascii="Courier New" w:hAnsi="Courier New" w:cs="Courier New"/>
        </w:rPr>
        <w:t xml:space="preserve"> </w:t>
      </w:r>
      <w:r w:rsidR="00EA544F" w:rsidRPr="00501F8A">
        <w:rPr>
          <w:rFonts w:ascii="Courier New" w:hAnsi="Courier New" w:cs="Courier New"/>
        </w:rPr>
        <w:t xml:space="preserve">includes a backward-looking tracking of differences between the prior </w:t>
      </w:r>
      <w:r w:rsidR="003C34F6" w:rsidRPr="00501F8A">
        <w:rPr>
          <w:rFonts w:ascii="Courier New" w:hAnsi="Courier New" w:cs="Courier New"/>
        </w:rPr>
        <w:t xml:space="preserve">PCA </w:t>
      </w:r>
      <w:r w:rsidR="005C2A29">
        <w:rPr>
          <w:rFonts w:ascii="Courier New" w:hAnsi="Courier New" w:cs="Courier New"/>
        </w:rPr>
        <w:t>Y</w:t>
      </w:r>
      <w:r w:rsidR="00EA544F" w:rsidRPr="00501F8A">
        <w:rPr>
          <w:rFonts w:ascii="Courier New" w:hAnsi="Courier New" w:cs="Courier New"/>
        </w:rPr>
        <w:t>ear’s forecast and actual NPSE incurred by the Company</w:t>
      </w:r>
      <w:r w:rsidR="00501F8A" w:rsidRPr="00501F8A">
        <w:rPr>
          <w:rFonts w:ascii="Courier New" w:hAnsi="Courier New" w:cs="Courier New"/>
        </w:rPr>
        <w:t xml:space="preserve">, and also </w:t>
      </w:r>
      <w:r w:rsidR="00EA544F" w:rsidRPr="00501F8A">
        <w:rPr>
          <w:rFonts w:ascii="Courier New" w:hAnsi="Courier New" w:cs="Courier New"/>
        </w:rPr>
        <w:t xml:space="preserve">tracks the collection of the prior year’s </w:t>
      </w:r>
      <w:r w:rsidR="00587EAC">
        <w:rPr>
          <w:rFonts w:ascii="Courier New" w:hAnsi="Courier New" w:cs="Courier New"/>
        </w:rPr>
        <w:t>B</w:t>
      </w:r>
      <w:r w:rsidR="00501F8A" w:rsidRPr="00501F8A">
        <w:rPr>
          <w:rFonts w:ascii="Courier New" w:hAnsi="Courier New" w:cs="Courier New"/>
        </w:rPr>
        <w:t xml:space="preserve">alancing </w:t>
      </w:r>
      <w:r w:rsidR="00587EAC">
        <w:rPr>
          <w:rFonts w:ascii="Courier New" w:hAnsi="Courier New" w:cs="Courier New"/>
        </w:rPr>
        <w:t>A</w:t>
      </w:r>
      <w:r w:rsidR="00CB5B1A">
        <w:rPr>
          <w:rFonts w:ascii="Courier New" w:hAnsi="Courier New" w:cs="Courier New"/>
        </w:rPr>
        <w:t>djustment</w:t>
      </w:r>
      <w:r w:rsidR="00501F8A" w:rsidRPr="00501F8A">
        <w:rPr>
          <w:rFonts w:ascii="Courier New" w:hAnsi="Courier New" w:cs="Courier New"/>
        </w:rPr>
        <w:t xml:space="preserve">. </w:t>
      </w:r>
    </w:p>
    <w:p w14:paraId="418D8515" w14:textId="77777777" w:rsidR="00FA4429" w:rsidRPr="00864420" w:rsidRDefault="00FA4429" w:rsidP="00FA4429">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Q.</w:t>
      </w:r>
      <w:r>
        <w:rPr>
          <w:rFonts w:ascii="Courier New" w:hAnsi="Courier New" w:cs="Courier New"/>
        </w:rPr>
        <w:tab/>
        <w:t xml:space="preserve">How does the PCA mechanism function? </w:t>
      </w:r>
    </w:p>
    <w:p w14:paraId="6D374719" w14:textId="7DB8512F" w:rsidR="00EA544F" w:rsidRDefault="00FA4429" w:rsidP="00FA4429">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A.</w:t>
      </w:r>
      <w:r>
        <w:rPr>
          <w:rFonts w:ascii="Courier New" w:hAnsi="Courier New" w:cs="Courier New"/>
        </w:rPr>
        <w:tab/>
      </w:r>
      <w:r w:rsidR="00EA544F" w:rsidRPr="00864420">
        <w:rPr>
          <w:rFonts w:ascii="Courier New" w:hAnsi="Courier New" w:cs="Courier New"/>
        </w:rPr>
        <w:t xml:space="preserve">With the exception of Public Utility Regulatory Policies Act of 1978 (“PURPA”) expenses and demand response incentive payments, the PCA allows the </w:t>
      </w:r>
      <w:r w:rsidR="00EA544F" w:rsidRPr="00864420">
        <w:rPr>
          <w:rFonts w:ascii="Courier New" w:hAnsi="Courier New" w:cs="Courier New"/>
        </w:rPr>
        <w:lastRenderedPageBreak/>
        <w:t xml:space="preserve">Company to pass through to customers 95 percent of the annual differences in actual NPSE as compared </w:t>
      </w:r>
      <w:r w:rsidR="005B07FA" w:rsidRPr="00864420">
        <w:rPr>
          <w:rFonts w:ascii="Courier New" w:hAnsi="Courier New" w:cs="Courier New"/>
        </w:rPr>
        <w:t xml:space="preserve">with </w:t>
      </w:r>
      <w:r w:rsidR="00EA544F" w:rsidRPr="00864420">
        <w:rPr>
          <w:rFonts w:ascii="Courier New" w:hAnsi="Courier New" w:cs="Courier New"/>
        </w:rPr>
        <w:t>base level NPSE, whether positive or negative.</w:t>
      </w:r>
      <w:r w:rsidR="003C34F6" w:rsidRPr="00864420">
        <w:rPr>
          <w:rFonts w:ascii="Courier New" w:hAnsi="Courier New" w:cs="Courier New"/>
        </w:rPr>
        <w:t xml:space="preserve"> </w:t>
      </w:r>
      <w:r w:rsidR="00022A04">
        <w:rPr>
          <w:rFonts w:ascii="Courier New" w:hAnsi="Courier New" w:cs="Courier New"/>
        </w:rPr>
        <w:t xml:space="preserve"> </w:t>
      </w:r>
      <w:r w:rsidR="00EA544F" w:rsidRPr="00864420">
        <w:rPr>
          <w:rFonts w:ascii="Courier New" w:hAnsi="Courier New" w:cs="Courier New"/>
        </w:rPr>
        <w:t>With respect to PURPA expenses and demand response incentive payments, as actual annual expenses deviate from base level NPSE, the Company is allowed to pass 100 percent of the difference for recovery or credit through the PCA.</w:t>
      </w:r>
      <w:r w:rsidR="003C34F6" w:rsidRPr="00864420">
        <w:rPr>
          <w:rFonts w:ascii="Courier New" w:hAnsi="Courier New" w:cs="Courier New"/>
        </w:rPr>
        <w:t xml:space="preserve"> </w:t>
      </w:r>
      <w:r w:rsidR="00022A04">
        <w:rPr>
          <w:rFonts w:ascii="Courier New" w:hAnsi="Courier New" w:cs="Courier New"/>
        </w:rPr>
        <w:t xml:space="preserve"> </w:t>
      </w:r>
      <w:r w:rsidR="00EA544F" w:rsidRPr="00864420">
        <w:rPr>
          <w:rFonts w:ascii="Courier New" w:hAnsi="Courier New" w:cs="Courier New"/>
        </w:rPr>
        <w:t xml:space="preserve">The PCA is also the rate mechanism used by the Company to provide </w:t>
      </w:r>
      <w:r w:rsidR="003C34F6" w:rsidRPr="00864420">
        <w:rPr>
          <w:rFonts w:ascii="Courier New" w:hAnsi="Courier New" w:cs="Courier New"/>
        </w:rPr>
        <w:t xml:space="preserve">customer </w:t>
      </w:r>
      <w:r w:rsidR="00EA544F" w:rsidRPr="00864420">
        <w:rPr>
          <w:rFonts w:ascii="Courier New" w:hAnsi="Courier New" w:cs="Courier New"/>
        </w:rPr>
        <w:t>benefits resulting from the revenue sharing mechanism approved by the Commission in Order No. 3</w:t>
      </w:r>
      <w:r w:rsidR="000C253B">
        <w:rPr>
          <w:rFonts w:ascii="Courier New" w:hAnsi="Courier New" w:cs="Courier New"/>
        </w:rPr>
        <w:t>4071</w:t>
      </w:r>
      <w:r w:rsidR="00EA544F" w:rsidRPr="00864420">
        <w:rPr>
          <w:rFonts w:ascii="Courier New" w:hAnsi="Courier New" w:cs="Courier New"/>
        </w:rPr>
        <w:t>.</w:t>
      </w:r>
    </w:p>
    <w:p w14:paraId="7CAF8D6E" w14:textId="0C1F75A0" w:rsidR="00CD66AB" w:rsidRDefault="00CD66AB" w:rsidP="00864420">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Q.</w:t>
      </w:r>
      <w:r>
        <w:rPr>
          <w:rFonts w:ascii="Courier New" w:hAnsi="Courier New" w:cs="Courier New"/>
        </w:rPr>
        <w:tab/>
        <w:t xml:space="preserve">Does the revenue collected from customers through the annual PCA rate contribute toward the Company’s </w:t>
      </w:r>
      <w:r w:rsidR="00C25DF9">
        <w:rPr>
          <w:rFonts w:ascii="Courier New" w:hAnsi="Courier New" w:cs="Courier New"/>
        </w:rPr>
        <w:t xml:space="preserve">earnings? </w:t>
      </w:r>
    </w:p>
    <w:p w14:paraId="75D19ED5" w14:textId="77777777" w:rsidR="00CD66AB" w:rsidRPr="00864420" w:rsidRDefault="00CD66AB" w:rsidP="00864420">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A.</w:t>
      </w:r>
      <w:r>
        <w:rPr>
          <w:rFonts w:ascii="Courier New" w:hAnsi="Courier New" w:cs="Courier New"/>
        </w:rPr>
        <w:tab/>
        <w:t xml:space="preserve">No. The PCA mechanism provides for the annual collection or refund of net power supply cost differences between actual costs </w:t>
      </w:r>
      <w:r w:rsidR="0077557B">
        <w:rPr>
          <w:rFonts w:ascii="Courier New" w:hAnsi="Courier New" w:cs="Courier New"/>
        </w:rPr>
        <w:t xml:space="preserve">incurred by the Company </w:t>
      </w:r>
      <w:r>
        <w:rPr>
          <w:rFonts w:ascii="Courier New" w:hAnsi="Courier New" w:cs="Courier New"/>
        </w:rPr>
        <w:t xml:space="preserve">and the base level NPSE component of base rates. Aside from the 95 percent to 5 percent sharing component I just described, the PCA provides for a one-for-one collection or refund of actual net power supply expenses incurred, or to be incurred, to provide safe, reliable electric service to customers.   </w:t>
      </w:r>
    </w:p>
    <w:p w14:paraId="05C7448C" w14:textId="77777777" w:rsidR="00EA544F" w:rsidRPr="00864420" w:rsidRDefault="00022A04" w:rsidP="00864420">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Q.</w:t>
      </w:r>
      <w:r>
        <w:rPr>
          <w:rFonts w:ascii="Courier New" w:hAnsi="Courier New" w:cs="Courier New"/>
        </w:rPr>
        <w:tab/>
      </w:r>
      <w:r w:rsidR="00EA544F" w:rsidRPr="00864420">
        <w:rPr>
          <w:rFonts w:ascii="Courier New" w:hAnsi="Courier New" w:cs="Courier New"/>
        </w:rPr>
        <w:t>What are the components of the PCA base level NPSE?</w:t>
      </w:r>
    </w:p>
    <w:p w14:paraId="489D6961" w14:textId="77777777" w:rsidR="00EA544F" w:rsidRPr="00864420" w:rsidRDefault="00022A04" w:rsidP="00864420">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lastRenderedPageBreak/>
        <w:t>A.</w:t>
      </w:r>
      <w:r>
        <w:rPr>
          <w:rFonts w:ascii="Courier New" w:hAnsi="Courier New" w:cs="Courier New"/>
        </w:rPr>
        <w:tab/>
      </w:r>
      <w:r w:rsidR="00EA544F" w:rsidRPr="00864420">
        <w:rPr>
          <w:rFonts w:ascii="Courier New" w:hAnsi="Courier New" w:cs="Courier New"/>
        </w:rPr>
        <w:t>The PCA base level NPSE includes the following</w:t>
      </w:r>
      <w:r w:rsidR="00FA4429">
        <w:rPr>
          <w:rFonts w:ascii="Courier New" w:hAnsi="Courier New" w:cs="Courier New"/>
        </w:rPr>
        <w:t xml:space="preserve"> Federal Energy Regulatory Commission</w:t>
      </w:r>
      <w:r w:rsidR="00EA544F" w:rsidRPr="00864420">
        <w:rPr>
          <w:rFonts w:ascii="Courier New" w:hAnsi="Courier New" w:cs="Courier New"/>
        </w:rPr>
        <w:t xml:space="preserve"> </w:t>
      </w:r>
      <w:r w:rsidR="00FA4429">
        <w:rPr>
          <w:rFonts w:ascii="Courier New" w:hAnsi="Courier New" w:cs="Courier New"/>
        </w:rPr>
        <w:t>(“</w:t>
      </w:r>
      <w:r w:rsidR="00EA544F" w:rsidRPr="00864420">
        <w:rPr>
          <w:rFonts w:ascii="Courier New" w:hAnsi="Courier New" w:cs="Courier New"/>
        </w:rPr>
        <w:t>FERC</w:t>
      </w:r>
      <w:r w:rsidR="00FA4429">
        <w:rPr>
          <w:rFonts w:ascii="Courier New" w:hAnsi="Courier New" w:cs="Courier New"/>
        </w:rPr>
        <w:t>”)</w:t>
      </w:r>
      <w:r w:rsidR="00F928E0">
        <w:rPr>
          <w:rFonts w:ascii="Courier New" w:hAnsi="Courier New" w:cs="Courier New"/>
        </w:rPr>
        <w:t xml:space="preserve"> </w:t>
      </w:r>
      <w:r w:rsidR="00EA544F" w:rsidRPr="00864420">
        <w:rPr>
          <w:rFonts w:ascii="Courier New" w:hAnsi="Courier New" w:cs="Courier New"/>
        </w:rPr>
        <w:t>accounts:</w:t>
      </w:r>
      <w:r w:rsidR="00F928E0">
        <w:rPr>
          <w:rFonts w:ascii="Courier New" w:hAnsi="Courier New" w:cs="Courier New"/>
        </w:rPr>
        <w:t xml:space="preserve"> </w:t>
      </w:r>
      <w:r w:rsidR="00EA544F" w:rsidRPr="00864420">
        <w:rPr>
          <w:rFonts w:ascii="Courier New" w:hAnsi="Courier New" w:cs="Courier New"/>
        </w:rPr>
        <w:t xml:space="preserve"> Account 501, Fuel (coal); Account 536, Water for Power; Account 547, Fuel (gas); Account 555, Purchased Power; Account 565, Transmission of Electricity by Others; and Account 447, Sales for Resale (typically referred to as surplus sales).</w:t>
      </w:r>
    </w:p>
    <w:p w14:paraId="59E082C2" w14:textId="77777777" w:rsidR="00EA544F" w:rsidRPr="00864420" w:rsidRDefault="00EA544F" w:rsidP="00864420">
      <w:pPr>
        <w:pStyle w:val="Testimony"/>
        <w:widowControl/>
        <w:tabs>
          <w:tab w:val="clear" w:pos="2160"/>
          <w:tab w:val="left" w:pos="1980"/>
        </w:tabs>
        <w:spacing w:line="456" w:lineRule="auto"/>
        <w:rPr>
          <w:rFonts w:ascii="Courier New" w:hAnsi="Courier New" w:cs="Courier New"/>
        </w:rPr>
      </w:pPr>
      <w:r w:rsidRPr="00864420">
        <w:rPr>
          <w:rFonts w:ascii="Courier New" w:hAnsi="Courier New" w:cs="Courier New"/>
        </w:rPr>
        <w:t xml:space="preserve">The PCA base level expense component for FERC Account 555 includes costs </w:t>
      </w:r>
      <w:r w:rsidR="003C34F6" w:rsidRPr="00864420">
        <w:rPr>
          <w:rFonts w:ascii="Courier New" w:hAnsi="Courier New" w:cs="Courier New"/>
        </w:rPr>
        <w:t>of</w:t>
      </w:r>
      <w:r w:rsidRPr="00864420">
        <w:rPr>
          <w:rFonts w:ascii="Courier New" w:hAnsi="Courier New" w:cs="Courier New"/>
        </w:rPr>
        <w:t xml:space="preserve"> both PURPA and non-PURPA (market) purchases.</w:t>
      </w:r>
      <w:r w:rsidR="003C34F6" w:rsidRPr="00864420">
        <w:rPr>
          <w:rFonts w:ascii="Courier New" w:hAnsi="Courier New" w:cs="Courier New"/>
        </w:rPr>
        <w:t xml:space="preserve"> </w:t>
      </w:r>
      <w:r w:rsidR="00F928E0">
        <w:rPr>
          <w:rFonts w:ascii="Courier New" w:hAnsi="Courier New" w:cs="Courier New"/>
        </w:rPr>
        <w:t xml:space="preserve"> </w:t>
      </w:r>
      <w:r w:rsidRPr="00864420">
        <w:rPr>
          <w:rFonts w:ascii="Courier New" w:hAnsi="Courier New" w:cs="Courier New"/>
        </w:rPr>
        <w:t xml:space="preserve">Per Order No. 32426, the Company adjusts FERC Account 555 to </w:t>
      </w:r>
      <w:r w:rsidR="003C34F6" w:rsidRPr="00864420">
        <w:rPr>
          <w:rFonts w:ascii="Courier New" w:hAnsi="Courier New" w:cs="Courier New"/>
        </w:rPr>
        <w:t xml:space="preserve">also </w:t>
      </w:r>
      <w:r w:rsidRPr="00864420">
        <w:rPr>
          <w:rFonts w:ascii="Courier New" w:hAnsi="Courier New" w:cs="Courier New"/>
        </w:rPr>
        <w:t xml:space="preserve">include demand response incentive payments that the Company provides to customers </w:t>
      </w:r>
      <w:r w:rsidR="003C34F6" w:rsidRPr="00864420">
        <w:rPr>
          <w:rFonts w:ascii="Courier New" w:hAnsi="Courier New" w:cs="Courier New"/>
        </w:rPr>
        <w:t>who</w:t>
      </w:r>
      <w:r w:rsidRPr="00864420">
        <w:rPr>
          <w:rFonts w:ascii="Courier New" w:hAnsi="Courier New" w:cs="Courier New"/>
        </w:rPr>
        <w:t xml:space="preserve"> participat</w:t>
      </w:r>
      <w:r w:rsidR="003C34F6" w:rsidRPr="00864420">
        <w:rPr>
          <w:rFonts w:ascii="Courier New" w:hAnsi="Courier New" w:cs="Courier New"/>
        </w:rPr>
        <w:t>e</w:t>
      </w:r>
      <w:r w:rsidRPr="00864420">
        <w:rPr>
          <w:rFonts w:ascii="Courier New" w:hAnsi="Courier New" w:cs="Courier New"/>
        </w:rPr>
        <w:t xml:space="preserve"> in any of its three demand response programs. </w:t>
      </w:r>
    </w:p>
    <w:p w14:paraId="1505221F" w14:textId="4082AD79" w:rsidR="00EA544F" w:rsidRPr="00864420" w:rsidRDefault="00022A04" w:rsidP="00864420">
      <w:pPr>
        <w:pStyle w:val="Testimony"/>
        <w:widowControl/>
        <w:tabs>
          <w:tab w:val="clear" w:pos="2160"/>
        </w:tabs>
        <w:spacing w:line="456" w:lineRule="auto"/>
        <w:ind w:firstLine="0"/>
        <w:jc w:val="center"/>
        <w:rPr>
          <w:rFonts w:ascii="Courier New" w:hAnsi="Courier New" w:cs="Courier New"/>
          <w:b/>
          <w:u w:val="single"/>
        </w:rPr>
      </w:pPr>
      <w:r>
        <w:rPr>
          <w:rFonts w:ascii="Courier New" w:hAnsi="Courier New" w:cs="Courier New"/>
          <w:b/>
        </w:rPr>
        <w:t>I</w:t>
      </w:r>
      <w:r w:rsidR="00EA544F" w:rsidRPr="00864420">
        <w:rPr>
          <w:rFonts w:ascii="Courier New" w:hAnsi="Courier New" w:cs="Courier New"/>
          <w:b/>
        </w:rPr>
        <w:t>I.</w:t>
      </w:r>
      <w:r>
        <w:rPr>
          <w:rFonts w:ascii="Courier New" w:hAnsi="Courier New" w:cs="Courier New"/>
          <w:b/>
        </w:rPr>
        <w:t xml:space="preserve"> </w:t>
      </w:r>
      <w:r w:rsidR="003C34F6" w:rsidRPr="00864420">
        <w:rPr>
          <w:rFonts w:ascii="Courier New" w:hAnsi="Courier New" w:cs="Courier New"/>
          <w:b/>
        </w:rPr>
        <w:t xml:space="preserve"> </w:t>
      </w:r>
      <w:r w:rsidR="00202300">
        <w:rPr>
          <w:rFonts w:ascii="Courier New" w:hAnsi="Courier New" w:cs="Courier New"/>
          <w:b/>
          <w:u w:val="single"/>
        </w:rPr>
        <w:t>2023</w:t>
      </w:r>
      <w:r w:rsidR="009D3DB6" w:rsidRPr="00864420">
        <w:rPr>
          <w:rFonts w:ascii="Courier New" w:hAnsi="Courier New" w:cs="Courier New"/>
          <w:b/>
          <w:u w:val="single"/>
        </w:rPr>
        <w:t>-</w:t>
      </w:r>
      <w:r w:rsidR="00202300">
        <w:rPr>
          <w:rFonts w:ascii="Courier New" w:hAnsi="Courier New" w:cs="Courier New"/>
          <w:b/>
          <w:u w:val="single"/>
        </w:rPr>
        <w:t>2024</w:t>
      </w:r>
      <w:r w:rsidR="00EA544F" w:rsidRPr="00864420">
        <w:rPr>
          <w:rFonts w:ascii="Courier New" w:hAnsi="Courier New" w:cs="Courier New"/>
          <w:b/>
          <w:u w:val="single"/>
        </w:rPr>
        <w:t xml:space="preserve"> PCA</w:t>
      </w:r>
    </w:p>
    <w:p w14:paraId="00FACA58" w14:textId="3DEA3621" w:rsidR="00EA544F" w:rsidRPr="00864420" w:rsidRDefault="00022A04" w:rsidP="00864420">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Q.</w:t>
      </w:r>
      <w:r>
        <w:rPr>
          <w:rFonts w:ascii="Courier New" w:hAnsi="Courier New" w:cs="Courier New"/>
        </w:rPr>
        <w:tab/>
      </w:r>
      <w:r w:rsidR="00EA544F" w:rsidRPr="00864420">
        <w:rPr>
          <w:rFonts w:ascii="Courier New" w:hAnsi="Courier New" w:cs="Courier New"/>
        </w:rPr>
        <w:t xml:space="preserve">What is the total PCA collection that would result under the </w:t>
      </w:r>
      <w:r w:rsidR="00202300">
        <w:rPr>
          <w:rFonts w:ascii="Courier New" w:hAnsi="Courier New" w:cs="Courier New"/>
        </w:rPr>
        <w:t>2023</w:t>
      </w:r>
      <w:r w:rsidR="009D3DB6" w:rsidRPr="00864420">
        <w:rPr>
          <w:rFonts w:ascii="Courier New" w:hAnsi="Courier New" w:cs="Courier New"/>
        </w:rPr>
        <w:t>-</w:t>
      </w:r>
      <w:r w:rsidR="00202300">
        <w:rPr>
          <w:rFonts w:ascii="Courier New" w:hAnsi="Courier New" w:cs="Courier New"/>
        </w:rPr>
        <w:t>2024</w:t>
      </w:r>
      <w:r w:rsidR="00EA544F" w:rsidRPr="00864420">
        <w:rPr>
          <w:rFonts w:ascii="Courier New" w:hAnsi="Courier New" w:cs="Courier New"/>
        </w:rPr>
        <w:t xml:space="preserve"> PCA rates proposed by the Company in this case?</w:t>
      </w:r>
    </w:p>
    <w:p w14:paraId="30314598" w14:textId="635ABF64" w:rsidR="00476C67" w:rsidRDefault="00022A04" w:rsidP="000B4AA6">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A.</w:t>
      </w:r>
      <w:r>
        <w:rPr>
          <w:rFonts w:ascii="Courier New" w:hAnsi="Courier New" w:cs="Courier New"/>
        </w:rPr>
        <w:tab/>
      </w:r>
      <w:r w:rsidR="00EA544F" w:rsidRPr="00864420">
        <w:rPr>
          <w:rFonts w:ascii="Courier New" w:hAnsi="Courier New" w:cs="Courier New"/>
        </w:rPr>
        <w:t xml:space="preserve">The </w:t>
      </w:r>
      <w:r w:rsidR="00202300">
        <w:rPr>
          <w:rFonts w:ascii="Courier New" w:hAnsi="Courier New" w:cs="Courier New"/>
        </w:rPr>
        <w:t>2023</w:t>
      </w:r>
      <w:r w:rsidR="00D25852" w:rsidRPr="00864420">
        <w:rPr>
          <w:rFonts w:ascii="Courier New" w:hAnsi="Courier New" w:cs="Courier New"/>
        </w:rPr>
        <w:t>-</w:t>
      </w:r>
      <w:r w:rsidR="00202300">
        <w:rPr>
          <w:rFonts w:ascii="Courier New" w:hAnsi="Courier New" w:cs="Courier New"/>
        </w:rPr>
        <w:t>2024</w:t>
      </w:r>
      <w:r w:rsidR="00D25852" w:rsidRPr="00864420">
        <w:rPr>
          <w:rFonts w:ascii="Courier New" w:hAnsi="Courier New" w:cs="Courier New"/>
        </w:rPr>
        <w:t xml:space="preserve"> PCA rates</w:t>
      </w:r>
      <w:r w:rsidR="00EA544F" w:rsidRPr="00864420">
        <w:rPr>
          <w:rFonts w:ascii="Courier New" w:hAnsi="Courier New" w:cs="Courier New"/>
        </w:rPr>
        <w:t xml:space="preserve"> </w:t>
      </w:r>
      <w:r w:rsidR="009D3DB6" w:rsidRPr="00864420">
        <w:rPr>
          <w:rFonts w:ascii="Courier New" w:hAnsi="Courier New" w:cs="Courier New"/>
        </w:rPr>
        <w:t xml:space="preserve">would result </w:t>
      </w:r>
      <w:r w:rsidR="000E4567">
        <w:rPr>
          <w:rFonts w:ascii="Courier New" w:hAnsi="Courier New" w:cs="Courier New"/>
        </w:rPr>
        <w:t xml:space="preserve">in </w:t>
      </w:r>
      <w:r w:rsidR="00D25852" w:rsidRPr="00864420">
        <w:rPr>
          <w:rFonts w:ascii="Courier New" w:hAnsi="Courier New" w:cs="Courier New"/>
        </w:rPr>
        <w:t xml:space="preserve">total PCA collection </w:t>
      </w:r>
      <w:r w:rsidR="00D25852">
        <w:rPr>
          <w:rFonts w:ascii="Courier New" w:hAnsi="Courier New" w:cs="Courier New"/>
        </w:rPr>
        <w:t xml:space="preserve">of </w:t>
      </w:r>
      <w:r w:rsidR="00EA544F" w:rsidRPr="00864420">
        <w:rPr>
          <w:rFonts w:ascii="Courier New" w:hAnsi="Courier New" w:cs="Courier New"/>
        </w:rPr>
        <w:t>$</w:t>
      </w:r>
      <w:r w:rsidR="00444B8B">
        <w:rPr>
          <w:rFonts w:ascii="Courier New" w:hAnsi="Courier New" w:cs="Courier New"/>
        </w:rPr>
        <w:t>40</w:t>
      </w:r>
      <w:r w:rsidR="00D32497">
        <w:rPr>
          <w:rFonts w:ascii="Courier New" w:hAnsi="Courier New" w:cs="Courier New"/>
        </w:rPr>
        <w:t>8.2</w:t>
      </w:r>
      <w:r w:rsidR="00EA544F" w:rsidRPr="00864420">
        <w:rPr>
          <w:rFonts w:ascii="Courier New" w:hAnsi="Courier New" w:cs="Courier New"/>
        </w:rPr>
        <w:t xml:space="preserve"> million.</w:t>
      </w:r>
      <w:r w:rsidR="003C34F6" w:rsidRPr="00864420">
        <w:rPr>
          <w:rFonts w:ascii="Courier New" w:hAnsi="Courier New" w:cs="Courier New"/>
        </w:rPr>
        <w:t xml:space="preserve"> </w:t>
      </w:r>
      <w:r w:rsidR="00F928E0">
        <w:rPr>
          <w:rFonts w:ascii="Courier New" w:hAnsi="Courier New" w:cs="Courier New"/>
        </w:rPr>
        <w:t xml:space="preserve"> </w:t>
      </w:r>
      <w:r w:rsidR="00EA544F" w:rsidRPr="00864420">
        <w:rPr>
          <w:rFonts w:ascii="Courier New" w:hAnsi="Courier New" w:cs="Courier New"/>
        </w:rPr>
        <w:t xml:space="preserve">This represents </w:t>
      </w:r>
      <w:r w:rsidR="005D60DF">
        <w:rPr>
          <w:rFonts w:ascii="Courier New" w:hAnsi="Courier New" w:cs="Courier New"/>
        </w:rPr>
        <w:t>an in</w:t>
      </w:r>
      <w:r w:rsidR="00EA544F" w:rsidRPr="00864420">
        <w:rPr>
          <w:rFonts w:ascii="Courier New" w:hAnsi="Courier New" w:cs="Courier New"/>
        </w:rPr>
        <w:t xml:space="preserve">crease in total billed revenue of </w:t>
      </w:r>
      <w:r w:rsidR="00EA544F" w:rsidRPr="006C6A58">
        <w:rPr>
          <w:rFonts w:ascii="Courier New" w:hAnsi="Courier New" w:cs="Courier New"/>
        </w:rPr>
        <w:t>$</w:t>
      </w:r>
      <w:r w:rsidR="00E11049">
        <w:rPr>
          <w:rFonts w:ascii="Courier New" w:hAnsi="Courier New" w:cs="Courier New"/>
        </w:rPr>
        <w:t>200.2</w:t>
      </w:r>
      <w:r w:rsidR="00930B7C">
        <w:rPr>
          <w:rFonts w:ascii="Courier New" w:hAnsi="Courier New" w:cs="Courier New"/>
        </w:rPr>
        <w:t xml:space="preserve"> </w:t>
      </w:r>
      <w:r w:rsidR="00EA544F" w:rsidRPr="00864420">
        <w:rPr>
          <w:rFonts w:ascii="Courier New" w:hAnsi="Courier New" w:cs="Courier New"/>
        </w:rPr>
        <w:t>million for the upcoming year, a</w:t>
      </w:r>
      <w:r w:rsidR="005D60DF">
        <w:rPr>
          <w:rFonts w:ascii="Courier New" w:hAnsi="Courier New" w:cs="Courier New"/>
        </w:rPr>
        <w:t>n in</w:t>
      </w:r>
      <w:r w:rsidR="00EA544F" w:rsidRPr="00864420">
        <w:rPr>
          <w:rFonts w:ascii="Courier New" w:hAnsi="Courier New" w:cs="Courier New"/>
        </w:rPr>
        <w:t xml:space="preserve">crease </w:t>
      </w:r>
      <w:r w:rsidR="00EA544F" w:rsidRPr="00444B8B">
        <w:rPr>
          <w:rFonts w:ascii="Courier New" w:hAnsi="Courier New" w:cs="Courier New"/>
        </w:rPr>
        <w:t xml:space="preserve">of </w:t>
      </w:r>
      <w:r w:rsidR="00E11049">
        <w:rPr>
          <w:rFonts w:ascii="Courier New" w:hAnsi="Courier New" w:cs="Courier New"/>
        </w:rPr>
        <w:t>14.68</w:t>
      </w:r>
      <w:r w:rsidR="0053579D" w:rsidRPr="00444B8B">
        <w:rPr>
          <w:rFonts w:ascii="Courier New" w:hAnsi="Courier New" w:cs="Courier New"/>
        </w:rPr>
        <w:t xml:space="preserve"> </w:t>
      </w:r>
      <w:r w:rsidR="00EA544F" w:rsidRPr="00587EAC">
        <w:rPr>
          <w:rFonts w:ascii="Courier New" w:hAnsi="Courier New" w:cs="Courier New"/>
        </w:rPr>
        <w:t>percent</w:t>
      </w:r>
      <w:r w:rsidR="00EA544F" w:rsidRPr="00864420">
        <w:rPr>
          <w:rFonts w:ascii="Courier New" w:hAnsi="Courier New" w:cs="Courier New"/>
        </w:rPr>
        <w:t>.</w:t>
      </w:r>
    </w:p>
    <w:p w14:paraId="06A62E3B" w14:textId="77777777" w:rsidR="001A1B8A" w:rsidRDefault="00EA544F" w:rsidP="00476C67">
      <w:pPr>
        <w:pStyle w:val="Testimony"/>
        <w:widowControl/>
        <w:tabs>
          <w:tab w:val="clear" w:pos="2160"/>
          <w:tab w:val="left" w:pos="1980"/>
        </w:tabs>
        <w:spacing w:line="456" w:lineRule="auto"/>
        <w:rPr>
          <w:rFonts w:ascii="Courier New" w:hAnsi="Courier New" w:cs="Courier New"/>
        </w:rPr>
        <w:sectPr w:rsidR="001A1B8A" w:rsidSect="00022A04">
          <w:headerReference w:type="default" r:id="rId14"/>
          <w:footerReference w:type="default" r:id="rId15"/>
          <w:pgSz w:w="12240" w:h="15840" w:code="1"/>
          <w:pgMar w:top="1440" w:right="1440" w:bottom="1440" w:left="2160" w:header="720" w:footer="720" w:gutter="0"/>
          <w:lnNumType w:countBy="1"/>
          <w:pgNumType w:start="1"/>
          <w:cols w:space="720"/>
          <w:noEndnote/>
        </w:sectPr>
      </w:pPr>
      <w:r w:rsidRPr="00864420">
        <w:rPr>
          <w:rFonts w:ascii="Courier New" w:hAnsi="Courier New" w:cs="Courier New"/>
        </w:rPr>
        <w:t xml:space="preserve"> </w:t>
      </w:r>
      <w:r w:rsidR="00476C67">
        <w:rPr>
          <w:rFonts w:ascii="Courier New" w:hAnsi="Courier New" w:cs="Courier New"/>
        </w:rPr>
        <w:t>Q.</w:t>
      </w:r>
      <w:r w:rsidR="00476C67">
        <w:rPr>
          <w:rFonts w:ascii="Courier New" w:hAnsi="Courier New" w:cs="Courier New"/>
        </w:rPr>
        <w:tab/>
      </w:r>
      <w:r w:rsidR="00476C67" w:rsidRPr="00864420">
        <w:rPr>
          <w:rFonts w:ascii="Courier New" w:hAnsi="Courier New" w:cs="Courier New"/>
        </w:rPr>
        <w:t>Have you prepared a table that details the $</w:t>
      </w:r>
      <w:r w:rsidR="00E11049">
        <w:rPr>
          <w:rFonts w:ascii="Courier New" w:hAnsi="Courier New" w:cs="Courier New"/>
        </w:rPr>
        <w:t>200.2</w:t>
      </w:r>
      <w:r w:rsidR="00202300">
        <w:rPr>
          <w:rFonts w:ascii="Courier New" w:hAnsi="Courier New" w:cs="Courier New"/>
          <w:color w:val="000000" w:themeColor="text1"/>
        </w:rPr>
        <w:t xml:space="preserve"> </w:t>
      </w:r>
      <w:r w:rsidR="00476C67" w:rsidRPr="00864420">
        <w:rPr>
          <w:rFonts w:ascii="Courier New" w:hAnsi="Courier New" w:cs="Courier New"/>
        </w:rPr>
        <w:t>million revenue impact by component?</w:t>
      </w:r>
    </w:p>
    <w:p w14:paraId="73641CA9" w14:textId="37F7B422" w:rsidR="00EC1C29" w:rsidRDefault="00476C67" w:rsidP="0035641F">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lastRenderedPageBreak/>
        <w:t>A.</w:t>
      </w:r>
      <w:r>
        <w:rPr>
          <w:rFonts w:ascii="Courier New" w:hAnsi="Courier New" w:cs="Courier New"/>
        </w:rPr>
        <w:tab/>
      </w:r>
      <w:r w:rsidRPr="00864420">
        <w:rPr>
          <w:rFonts w:ascii="Courier New" w:hAnsi="Courier New" w:cs="Courier New"/>
        </w:rPr>
        <w:t xml:space="preserve">Yes. </w:t>
      </w:r>
      <w:r>
        <w:rPr>
          <w:rFonts w:ascii="Courier New" w:hAnsi="Courier New" w:cs="Courier New"/>
        </w:rPr>
        <w:t xml:space="preserve"> </w:t>
      </w:r>
      <w:r w:rsidRPr="00864420">
        <w:rPr>
          <w:rFonts w:ascii="Courier New" w:hAnsi="Courier New" w:cs="Courier New"/>
        </w:rPr>
        <w:t xml:space="preserve">Table </w:t>
      </w:r>
      <w:r w:rsidR="006C6A58">
        <w:rPr>
          <w:rFonts w:ascii="Courier New" w:hAnsi="Courier New" w:cs="Courier New"/>
        </w:rPr>
        <w:t>1</w:t>
      </w:r>
      <w:r w:rsidRPr="00864420">
        <w:rPr>
          <w:rFonts w:ascii="Courier New" w:hAnsi="Courier New" w:cs="Courier New"/>
        </w:rPr>
        <w:t xml:space="preserve"> </w:t>
      </w:r>
      <w:r w:rsidR="00D25852">
        <w:rPr>
          <w:rFonts w:ascii="Courier New" w:hAnsi="Courier New" w:cs="Courier New"/>
        </w:rPr>
        <w:t xml:space="preserve">presents a </w:t>
      </w:r>
      <w:r w:rsidRPr="00864420">
        <w:rPr>
          <w:rFonts w:ascii="Courier New" w:hAnsi="Courier New" w:cs="Courier New"/>
        </w:rPr>
        <w:t>separat</w:t>
      </w:r>
      <w:r w:rsidR="00D25852">
        <w:rPr>
          <w:rFonts w:ascii="Courier New" w:hAnsi="Courier New" w:cs="Courier New"/>
        </w:rPr>
        <w:t>ion of</w:t>
      </w:r>
      <w:r w:rsidRPr="00864420">
        <w:rPr>
          <w:rFonts w:ascii="Courier New" w:hAnsi="Courier New" w:cs="Courier New"/>
        </w:rPr>
        <w:t xml:space="preserve"> the $</w:t>
      </w:r>
      <w:r w:rsidR="00E11049">
        <w:rPr>
          <w:rFonts w:ascii="Courier New" w:hAnsi="Courier New" w:cs="Courier New"/>
        </w:rPr>
        <w:t>200.2</w:t>
      </w:r>
      <w:r w:rsidR="00930B7C">
        <w:rPr>
          <w:rFonts w:ascii="Courier New" w:hAnsi="Courier New" w:cs="Courier New"/>
        </w:rPr>
        <w:t xml:space="preserve"> </w:t>
      </w:r>
      <w:r w:rsidRPr="00864420">
        <w:rPr>
          <w:rFonts w:ascii="Courier New" w:hAnsi="Courier New" w:cs="Courier New"/>
        </w:rPr>
        <w:t xml:space="preserve">million </w:t>
      </w:r>
      <w:r>
        <w:rPr>
          <w:rFonts w:ascii="Courier New" w:hAnsi="Courier New" w:cs="Courier New"/>
        </w:rPr>
        <w:t>in</w:t>
      </w:r>
      <w:r w:rsidRPr="00864420">
        <w:rPr>
          <w:rFonts w:ascii="Courier New" w:hAnsi="Courier New" w:cs="Courier New"/>
        </w:rPr>
        <w:t>crease into each component included in the Company’s proposed rates</w:t>
      </w:r>
      <w:r w:rsidR="0035641F">
        <w:rPr>
          <w:rFonts w:ascii="Courier New" w:hAnsi="Courier New" w:cs="Courier New"/>
        </w:rPr>
        <w:t>.</w:t>
      </w:r>
    </w:p>
    <w:tbl>
      <w:tblPr>
        <w:tblW w:w="8635" w:type="dxa"/>
        <w:jc w:val="center"/>
        <w:tblLook w:val="04A0" w:firstRow="1" w:lastRow="0" w:firstColumn="1" w:lastColumn="0" w:noHBand="0" w:noVBand="1"/>
      </w:tblPr>
      <w:tblGrid>
        <w:gridCol w:w="805"/>
        <w:gridCol w:w="2368"/>
        <w:gridCol w:w="1772"/>
        <w:gridCol w:w="1800"/>
        <w:gridCol w:w="1890"/>
      </w:tblGrid>
      <w:tr w:rsidR="00202300" w:rsidRPr="00202300" w14:paraId="30C6AC29" w14:textId="77777777" w:rsidTr="00772C19">
        <w:trPr>
          <w:trHeight w:val="315"/>
          <w:jc w:val="center"/>
        </w:trPr>
        <w:tc>
          <w:tcPr>
            <w:tcW w:w="805" w:type="dxa"/>
            <w:tcBorders>
              <w:top w:val="single" w:sz="4" w:space="0" w:color="auto"/>
              <w:left w:val="single" w:sz="4" w:space="0" w:color="auto"/>
              <w:bottom w:val="single" w:sz="8" w:space="0" w:color="auto"/>
              <w:right w:val="nil"/>
            </w:tcBorders>
            <w:shd w:val="clear" w:color="auto" w:fill="auto"/>
            <w:noWrap/>
            <w:vAlign w:val="bottom"/>
            <w:hideMark/>
          </w:tcPr>
          <w:p w14:paraId="2F3260C8" w14:textId="77777777" w:rsidR="00202300" w:rsidRPr="00202300" w:rsidRDefault="00202300" w:rsidP="00202300">
            <w:pPr>
              <w:rPr>
                <w:rFonts w:ascii="Calibri" w:hAnsi="Calibri" w:cs="Calibri"/>
                <w:b/>
                <w:bCs/>
                <w:color w:val="000000"/>
                <w:sz w:val="18"/>
                <w:szCs w:val="18"/>
              </w:rPr>
            </w:pPr>
            <w:r w:rsidRPr="00202300">
              <w:rPr>
                <w:rFonts w:ascii="Calibri" w:hAnsi="Calibri" w:cs="Calibri"/>
                <w:b/>
                <w:bCs/>
                <w:color w:val="000000"/>
                <w:sz w:val="18"/>
                <w:szCs w:val="18"/>
              </w:rPr>
              <w:t>Table 1</w:t>
            </w:r>
          </w:p>
        </w:tc>
        <w:tc>
          <w:tcPr>
            <w:tcW w:w="7830"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3AB79B1E" w14:textId="77777777" w:rsidR="00202300" w:rsidRPr="00202300" w:rsidRDefault="00202300" w:rsidP="00202300">
            <w:pPr>
              <w:jc w:val="center"/>
              <w:rPr>
                <w:rFonts w:ascii="Calibri" w:hAnsi="Calibri" w:cs="Calibri"/>
                <w:b/>
                <w:bCs/>
                <w:color w:val="000000"/>
                <w:sz w:val="18"/>
                <w:szCs w:val="18"/>
              </w:rPr>
            </w:pPr>
            <w:r w:rsidRPr="00202300">
              <w:rPr>
                <w:rFonts w:ascii="Calibri" w:hAnsi="Calibri" w:cs="Calibri"/>
                <w:b/>
                <w:bCs/>
                <w:color w:val="000000"/>
                <w:sz w:val="18"/>
                <w:szCs w:val="18"/>
              </w:rPr>
              <w:t>Revenue Impact by Component</w:t>
            </w:r>
          </w:p>
        </w:tc>
      </w:tr>
      <w:tr w:rsidR="00202300" w:rsidRPr="00202300" w14:paraId="767C42E3" w14:textId="77777777" w:rsidTr="00772C19">
        <w:trPr>
          <w:trHeight w:val="300"/>
          <w:jc w:val="center"/>
        </w:trPr>
        <w:tc>
          <w:tcPr>
            <w:tcW w:w="805" w:type="dxa"/>
            <w:tcBorders>
              <w:top w:val="nil"/>
              <w:left w:val="single" w:sz="4" w:space="0" w:color="auto"/>
              <w:bottom w:val="nil"/>
              <w:right w:val="nil"/>
            </w:tcBorders>
            <w:shd w:val="clear" w:color="auto" w:fill="auto"/>
            <w:noWrap/>
            <w:vAlign w:val="bottom"/>
            <w:hideMark/>
          </w:tcPr>
          <w:p w14:paraId="50C767B3" w14:textId="77777777" w:rsidR="00202300" w:rsidRPr="00202300" w:rsidRDefault="00202300" w:rsidP="00202300">
            <w:pPr>
              <w:rPr>
                <w:rFonts w:ascii="Calibri" w:hAnsi="Calibri" w:cs="Calibri"/>
                <w:color w:val="000000"/>
                <w:sz w:val="18"/>
                <w:szCs w:val="18"/>
              </w:rPr>
            </w:pPr>
            <w:r w:rsidRPr="00202300">
              <w:rPr>
                <w:rFonts w:ascii="Calibri" w:hAnsi="Calibri" w:cs="Calibri"/>
                <w:color w:val="000000"/>
                <w:sz w:val="18"/>
                <w:szCs w:val="18"/>
              </w:rPr>
              <w:t> </w:t>
            </w:r>
          </w:p>
        </w:tc>
        <w:tc>
          <w:tcPr>
            <w:tcW w:w="2368" w:type="dxa"/>
            <w:tcBorders>
              <w:top w:val="nil"/>
              <w:left w:val="nil"/>
              <w:bottom w:val="nil"/>
              <w:right w:val="nil"/>
            </w:tcBorders>
            <w:shd w:val="clear" w:color="auto" w:fill="auto"/>
            <w:noWrap/>
            <w:vAlign w:val="bottom"/>
            <w:hideMark/>
          </w:tcPr>
          <w:p w14:paraId="0CE230D2" w14:textId="77777777" w:rsidR="00202300" w:rsidRPr="00202300" w:rsidRDefault="00202300" w:rsidP="00202300">
            <w:pPr>
              <w:rPr>
                <w:rFonts w:ascii="Calibri" w:hAnsi="Calibri" w:cs="Calibri"/>
                <w:color w:val="000000"/>
                <w:sz w:val="18"/>
                <w:szCs w:val="18"/>
              </w:rPr>
            </w:pPr>
          </w:p>
        </w:tc>
        <w:tc>
          <w:tcPr>
            <w:tcW w:w="1772" w:type="dxa"/>
            <w:tcBorders>
              <w:top w:val="nil"/>
              <w:left w:val="nil"/>
              <w:bottom w:val="nil"/>
              <w:right w:val="nil"/>
            </w:tcBorders>
            <w:shd w:val="clear" w:color="auto" w:fill="auto"/>
            <w:noWrap/>
            <w:vAlign w:val="bottom"/>
            <w:hideMark/>
          </w:tcPr>
          <w:p w14:paraId="5C77A641" w14:textId="77777777" w:rsidR="00202300" w:rsidRPr="00202300" w:rsidRDefault="00202300" w:rsidP="00202300">
            <w:pPr>
              <w:rPr>
                <w:rFonts w:ascii="Times New Roman" w:hAnsi="Times New Roman"/>
                <w:sz w:val="18"/>
                <w:szCs w:val="18"/>
              </w:rPr>
            </w:pPr>
          </w:p>
        </w:tc>
        <w:tc>
          <w:tcPr>
            <w:tcW w:w="1800" w:type="dxa"/>
            <w:tcBorders>
              <w:top w:val="nil"/>
              <w:left w:val="nil"/>
              <w:bottom w:val="nil"/>
              <w:right w:val="nil"/>
            </w:tcBorders>
            <w:shd w:val="clear" w:color="auto" w:fill="auto"/>
            <w:noWrap/>
            <w:vAlign w:val="bottom"/>
            <w:hideMark/>
          </w:tcPr>
          <w:p w14:paraId="7531EDC4" w14:textId="77777777" w:rsidR="00202300" w:rsidRPr="00202300" w:rsidRDefault="00202300" w:rsidP="00202300">
            <w:pPr>
              <w:rPr>
                <w:rFonts w:ascii="Times New Roman" w:hAnsi="Times New Roman"/>
                <w:sz w:val="18"/>
                <w:szCs w:val="18"/>
              </w:rPr>
            </w:pPr>
          </w:p>
        </w:tc>
        <w:tc>
          <w:tcPr>
            <w:tcW w:w="1890" w:type="dxa"/>
            <w:tcBorders>
              <w:top w:val="nil"/>
              <w:left w:val="nil"/>
              <w:bottom w:val="nil"/>
              <w:right w:val="single" w:sz="4" w:space="0" w:color="auto"/>
            </w:tcBorders>
            <w:shd w:val="clear" w:color="auto" w:fill="auto"/>
            <w:noWrap/>
            <w:vAlign w:val="bottom"/>
            <w:hideMark/>
          </w:tcPr>
          <w:p w14:paraId="177B7676" w14:textId="77777777" w:rsidR="00202300" w:rsidRPr="00202300" w:rsidRDefault="00202300" w:rsidP="00202300">
            <w:pPr>
              <w:rPr>
                <w:rFonts w:ascii="Calibri" w:hAnsi="Calibri" w:cs="Calibri"/>
                <w:color w:val="000000"/>
                <w:sz w:val="18"/>
                <w:szCs w:val="18"/>
              </w:rPr>
            </w:pPr>
            <w:r w:rsidRPr="00202300">
              <w:rPr>
                <w:rFonts w:ascii="Calibri" w:hAnsi="Calibri" w:cs="Calibri"/>
                <w:color w:val="000000"/>
                <w:sz w:val="18"/>
                <w:szCs w:val="18"/>
              </w:rPr>
              <w:t> </w:t>
            </w:r>
          </w:p>
        </w:tc>
      </w:tr>
      <w:tr w:rsidR="00202300" w:rsidRPr="00202300" w14:paraId="754329DF" w14:textId="77777777" w:rsidTr="00772C19">
        <w:trPr>
          <w:trHeight w:val="345"/>
          <w:jc w:val="center"/>
        </w:trPr>
        <w:tc>
          <w:tcPr>
            <w:tcW w:w="805" w:type="dxa"/>
            <w:tcBorders>
              <w:top w:val="nil"/>
              <w:left w:val="single" w:sz="4" w:space="0" w:color="auto"/>
              <w:bottom w:val="single" w:sz="4" w:space="0" w:color="auto"/>
              <w:right w:val="nil"/>
            </w:tcBorders>
            <w:shd w:val="clear" w:color="auto" w:fill="auto"/>
            <w:noWrap/>
            <w:vAlign w:val="bottom"/>
            <w:hideMark/>
          </w:tcPr>
          <w:p w14:paraId="181EFD3F" w14:textId="77777777" w:rsidR="00202300" w:rsidRPr="00202300" w:rsidRDefault="00202300" w:rsidP="00202300">
            <w:pPr>
              <w:rPr>
                <w:rFonts w:ascii="Calibri" w:hAnsi="Calibri" w:cs="Calibri"/>
                <w:b/>
                <w:bCs/>
                <w:color w:val="000000"/>
                <w:sz w:val="18"/>
                <w:szCs w:val="18"/>
              </w:rPr>
            </w:pPr>
            <w:r w:rsidRPr="00202300">
              <w:rPr>
                <w:rFonts w:ascii="Calibri" w:hAnsi="Calibri" w:cs="Calibri"/>
                <w:b/>
                <w:bCs/>
                <w:color w:val="000000"/>
                <w:sz w:val="18"/>
                <w:szCs w:val="18"/>
              </w:rPr>
              <w:t>Line No.</w:t>
            </w:r>
          </w:p>
        </w:tc>
        <w:tc>
          <w:tcPr>
            <w:tcW w:w="2368" w:type="dxa"/>
            <w:tcBorders>
              <w:top w:val="nil"/>
              <w:left w:val="nil"/>
              <w:bottom w:val="single" w:sz="4" w:space="0" w:color="auto"/>
              <w:right w:val="nil"/>
            </w:tcBorders>
            <w:shd w:val="clear" w:color="auto" w:fill="auto"/>
            <w:noWrap/>
            <w:vAlign w:val="bottom"/>
            <w:hideMark/>
          </w:tcPr>
          <w:p w14:paraId="77E61A3F" w14:textId="77777777" w:rsidR="00202300" w:rsidRPr="00202300" w:rsidRDefault="00202300" w:rsidP="00202300">
            <w:pPr>
              <w:rPr>
                <w:rFonts w:ascii="Calibri" w:hAnsi="Calibri" w:cs="Calibri"/>
                <w:b/>
                <w:bCs/>
                <w:color w:val="000000"/>
                <w:sz w:val="18"/>
                <w:szCs w:val="18"/>
              </w:rPr>
            </w:pPr>
            <w:r w:rsidRPr="00202300">
              <w:rPr>
                <w:rFonts w:ascii="Calibri" w:hAnsi="Calibri" w:cs="Calibri"/>
                <w:b/>
                <w:bCs/>
                <w:color w:val="000000"/>
                <w:sz w:val="18"/>
                <w:szCs w:val="18"/>
              </w:rPr>
              <w:t>Rate Component</w:t>
            </w:r>
          </w:p>
        </w:tc>
        <w:tc>
          <w:tcPr>
            <w:tcW w:w="1772" w:type="dxa"/>
            <w:tcBorders>
              <w:top w:val="nil"/>
              <w:left w:val="nil"/>
              <w:bottom w:val="single" w:sz="4" w:space="0" w:color="auto"/>
              <w:right w:val="nil"/>
            </w:tcBorders>
            <w:shd w:val="clear" w:color="auto" w:fill="auto"/>
            <w:noWrap/>
            <w:vAlign w:val="bottom"/>
            <w:hideMark/>
          </w:tcPr>
          <w:p w14:paraId="5189E436" w14:textId="1BC1E39D" w:rsidR="00202300" w:rsidRPr="00202300" w:rsidRDefault="00202300" w:rsidP="00202300">
            <w:pPr>
              <w:jc w:val="center"/>
              <w:rPr>
                <w:rFonts w:ascii="Calibri" w:hAnsi="Calibri" w:cs="Calibri"/>
                <w:b/>
                <w:bCs/>
                <w:color w:val="000000"/>
                <w:sz w:val="18"/>
                <w:szCs w:val="18"/>
              </w:rPr>
            </w:pPr>
            <w:r w:rsidRPr="00202300">
              <w:rPr>
                <w:rFonts w:ascii="Calibri" w:hAnsi="Calibri" w:cs="Calibri"/>
                <w:b/>
                <w:bCs/>
                <w:color w:val="000000"/>
                <w:sz w:val="18"/>
                <w:szCs w:val="18"/>
              </w:rPr>
              <w:t>2022-2023 PCA</w:t>
            </w:r>
          </w:p>
        </w:tc>
        <w:tc>
          <w:tcPr>
            <w:tcW w:w="1800" w:type="dxa"/>
            <w:tcBorders>
              <w:top w:val="nil"/>
              <w:left w:val="nil"/>
              <w:bottom w:val="single" w:sz="4" w:space="0" w:color="auto"/>
              <w:right w:val="nil"/>
            </w:tcBorders>
            <w:shd w:val="clear" w:color="auto" w:fill="auto"/>
            <w:noWrap/>
            <w:vAlign w:val="bottom"/>
            <w:hideMark/>
          </w:tcPr>
          <w:p w14:paraId="3204D93D" w14:textId="7845CC1B" w:rsidR="00202300" w:rsidRPr="00202300" w:rsidRDefault="00202300" w:rsidP="00202300">
            <w:pPr>
              <w:jc w:val="center"/>
              <w:rPr>
                <w:rFonts w:ascii="Calibri" w:hAnsi="Calibri" w:cs="Calibri"/>
                <w:b/>
                <w:bCs/>
                <w:color w:val="000000"/>
                <w:sz w:val="18"/>
                <w:szCs w:val="18"/>
              </w:rPr>
            </w:pPr>
            <w:r w:rsidRPr="00202300">
              <w:rPr>
                <w:rFonts w:ascii="Calibri" w:hAnsi="Calibri" w:cs="Calibri"/>
                <w:b/>
                <w:bCs/>
                <w:color w:val="000000"/>
                <w:sz w:val="18"/>
                <w:szCs w:val="18"/>
              </w:rPr>
              <w:t>2023-2024 PCA</w:t>
            </w:r>
          </w:p>
        </w:tc>
        <w:tc>
          <w:tcPr>
            <w:tcW w:w="1890" w:type="dxa"/>
            <w:tcBorders>
              <w:top w:val="nil"/>
              <w:left w:val="nil"/>
              <w:bottom w:val="single" w:sz="4" w:space="0" w:color="auto"/>
              <w:right w:val="single" w:sz="4" w:space="0" w:color="auto"/>
            </w:tcBorders>
            <w:shd w:val="clear" w:color="auto" w:fill="auto"/>
            <w:noWrap/>
            <w:vAlign w:val="bottom"/>
            <w:hideMark/>
          </w:tcPr>
          <w:p w14:paraId="7F0EC908" w14:textId="77777777" w:rsidR="00202300" w:rsidRPr="00202300" w:rsidRDefault="00202300" w:rsidP="00202300">
            <w:pPr>
              <w:jc w:val="center"/>
              <w:rPr>
                <w:rFonts w:ascii="Calibri" w:hAnsi="Calibri" w:cs="Calibri"/>
                <w:b/>
                <w:bCs/>
                <w:color w:val="000000"/>
                <w:sz w:val="18"/>
                <w:szCs w:val="18"/>
              </w:rPr>
            </w:pPr>
            <w:r w:rsidRPr="00202300">
              <w:rPr>
                <w:rFonts w:ascii="Calibri" w:hAnsi="Calibri" w:cs="Calibri"/>
                <w:b/>
                <w:bCs/>
                <w:color w:val="000000"/>
                <w:sz w:val="18"/>
                <w:szCs w:val="18"/>
              </w:rPr>
              <w:t>Difference</w:t>
            </w:r>
          </w:p>
        </w:tc>
      </w:tr>
      <w:tr w:rsidR="00202300" w:rsidRPr="00202300" w14:paraId="2926BFE9" w14:textId="77777777" w:rsidTr="00772C19">
        <w:trPr>
          <w:trHeight w:val="300"/>
          <w:jc w:val="center"/>
        </w:trPr>
        <w:tc>
          <w:tcPr>
            <w:tcW w:w="805" w:type="dxa"/>
            <w:tcBorders>
              <w:top w:val="nil"/>
              <w:left w:val="single" w:sz="4" w:space="0" w:color="auto"/>
              <w:bottom w:val="nil"/>
              <w:right w:val="single" w:sz="4" w:space="0" w:color="auto"/>
            </w:tcBorders>
            <w:shd w:val="clear" w:color="auto" w:fill="auto"/>
            <w:noWrap/>
            <w:vAlign w:val="bottom"/>
            <w:hideMark/>
          </w:tcPr>
          <w:p w14:paraId="2CAA347E" w14:textId="77777777" w:rsidR="00202300" w:rsidRPr="00202300" w:rsidRDefault="00202300" w:rsidP="00202300">
            <w:pPr>
              <w:jc w:val="center"/>
              <w:rPr>
                <w:rFonts w:ascii="Calibri" w:hAnsi="Calibri" w:cs="Calibri"/>
                <w:color w:val="000000"/>
                <w:sz w:val="18"/>
                <w:szCs w:val="18"/>
              </w:rPr>
            </w:pPr>
            <w:r w:rsidRPr="00202300">
              <w:rPr>
                <w:rFonts w:ascii="Calibri" w:hAnsi="Calibri" w:cs="Calibri"/>
                <w:color w:val="000000"/>
                <w:sz w:val="18"/>
                <w:szCs w:val="18"/>
              </w:rPr>
              <w:t>1</w:t>
            </w:r>
          </w:p>
        </w:tc>
        <w:tc>
          <w:tcPr>
            <w:tcW w:w="2368" w:type="dxa"/>
            <w:tcBorders>
              <w:top w:val="nil"/>
              <w:left w:val="nil"/>
              <w:right w:val="nil"/>
            </w:tcBorders>
            <w:shd w:val="clear" w:color="auto" w:fill="auto"/>
            <w:noWrap/>
            <w:vAlign w:val="bottom"/>
            <w:hideMark/>
          </w:tcPr>
          <w:p w14:paraId="18AC8F95" w14:textId="77777777" w:rsidR="00202300" w:rsidRPr="00202300" w:rsidRDefault="00202300" w:rsidP="00202300">
            <w:pPr>
              <w:rPr>
                <w:rFonts w:ascii="Calibri" w:hAnsi="Calibri" w:cs="Calibri"/>
                <w:color w:val="000000"/>
                <w:sz w:val="18"/>
                <w:szCs w:val="18"/>
              </w:rPr>
            </w:pPr>
            <w:r w:rsidRPr="00202300">
              <w:rPr>
                <w:rFonts w:ascii="Calibri" w:hAnsi="Calibri" w:cs="Calibri"/>
                <w:color w:val="000000"/>
                <w:sz w:val="18"/>
                <w:szCs w:val="18"/>
              </w:rPr>
              <w:t>PCA Forecast</w:t>
            </w:r>
          </w:p>
        </w:tc>
        <w:tc>
          <w:tcPr>
            <w:tcW w:w="1772" w:type="dxa"/>
            <w:tcBorders>
              <w:top w:val="nil"/>
              <w:left w:val="nil"/>
              <w:bottom w:val="nil"/>
              <w:right w:val="nil"/>
            </w:tcBorders>
            <w:shd w:val="clear" w:color="auto" w:fill="auto"/>
            <w:noWrap/>
            <w:vAlign w:val="bottom"/>
            <w:hideMark/>
          </w:tcPr>
          <w:p w14:paraId="2F0CF762" w14:textId="4DDFA7F3" w:rsidR="00202300" w:rsidRPr="00202300" w:rsidRDefault="00202300" w:rsidP="00772C19">
            <w:pPr>
              <w:jc w:val="right"/>
              <w:rPr>
                <w:rFonts w:ascii="Calibri" w:hAnsi="Calibri" w:cs="Calibri"/>
                <w:color w:val="000000"/>
                <w:sz w:val="18"/>
                <w:szCs w:val="18"/>
              </w:rPr>
            </w:pPr>
            <w:r w:rsidRPr="00202300">
              <w:rPr>
                <w:rFonts w:ascii="Calibri" w:hAnsi="Calibri" w:cs="Calibri"/>
                <w:color w:val="000000"/>
                <w:sz w:val="18"/>
                <w:szCs w:val="18"/>
              </w:rPr>
              <w:t xml:space="preserve"> $           </w:t>
            </w:r>
            <w:r w:rsidR="00106295">
              <w:rPr>
                <w:rFonts w:ascii="Calibri" w:hAnsi="Calibri" w:cs="Calibri"/>
                <w:color w:val="000000"/>
                <w:sz w:val="18"/>
                <w:szCs w:val="18"/>
              </w:rPr>
              <w:t>169,966,873</w:t>
            </w:r>
            <w:r w:rsidRPr="00202300">
              <w:rPr>
                <w:rFonts w:ascii="Calibri" w:hAnsi="Calibri" w:cs="Calibri"/>
                <w:color w:val="000000"/>
                <w:sz w:val="18"/>
                <w:szCs w:val="18"/>
              </w:rPr>
              <w:t xml:space="preserve"> </w:t>
            </w:r>
          </w:p>
        </w:tc>
        <w:tc>
          <w:tcPr>
            <w:tcW w:w="1800" w:type="dxa"/>
            <w:tcBorders>
              <w:top w:val="nil"/>
              <w:left w:val="nil"/>
              <w:bottom w:val="nil"/>
              <w:right w:val="nil"/>
            </w:tcBorders>
            <w:shd w:val="clear" w:color="auto" w:fill="auto"/>
            <w:noWrap/>
            <w:vAlign w:val="bottom"/>
            <w:hideMark/>
          </w:tcPr>
          <w:p w14:paraId="1F7B438B" w14:textId="034A1459" w:rsidR="00202300" w:rsidRPr="00202300" w:rsidRDefault="00E11049" w:rsidP="00202300">
            <w:pPr>
              <w:jc w:val="right"/>
              <w:rPr>
                <w:rFonts w:ascii="Calibri" w:hAnsi="Calibri" w:cs="Calibri"/>
                <w:color w:val="000000"/>
                <w:sz w:val="18"/>
                <w:szCs w:val="18"/>
              </w:rPr>
            </w:pPr>
            <w:r w:rsidRPr="00E11049">
              <w:rPr>
                <w:rFonts w:ascii="Calibri" w:hAnsi="Calibri" w:cs="Calibri"/>
                <w:color w:val="000000"/>
                <w:sz w:val="18"/>
                <w:szCs w:val="18"/>
              </w:rPr>
              <w:t>$</w:t>
            </w:r>
            <w:r>
              <w:rPr>
                <w:rFonts w:ascii="Calibri" w:hAnsi="Calibri" w:cs="Calibri"/>
                <w:color w:val="000000"/>
                <w:sz w:val="18"/>
                <w:szCs w:val="18"/>
              </w:rPr>
              <w:t xml:space="preserve">        </w:t>
            </w:r>
            <w:r w:rsidRPr="00E11049">
              <w:rPr>
                <w:rFonts w:ascii="Calibri" w:hAnsi="Calibri" w:cs="Calibri"/>
                <w:color w:val="000000"/>
                <w:sz w:val="18"/>
                <w:szCs w:val="18"/>
              </w:rPr>
              <w:t>218,005,217</w:t>
            </w:r>
          </w:p>
        </w:tc>
        <w:tc>
          <w:tcPr>
            <w:tcW w:w="1890" w:type="dxa"/>
            <w:tcBorders>
              <w:top w:val="nil"/>
              <w:left w:val="nil"/>
              <w:bottom w:val="nil"/>
              <w:right w:val="single" w:sz="4" w:space="0" w:color="auto"/>
            </w:tcBorders>
            <w:shd w:val="clear" w:color="auto" w:fill="auto"/>
            <w:noWrap/>
            <w:vAlign w:val="bottom"/>
            <w:hideMark/>
          </w:tcPr>
          <w:p w14:paraId="56DAF646" w14:textId="1981C334" w:rsidR="00202300" w:rsidRPr="00202300" w:rsidRDefault="00D32497" w:rsidP="00772C19">
            <w:pPr>
              <w:jc w:val="right"/>
              <w:rPr>
                <w:rFonts w:ascii="Calibri" w:hAnsi="Calibri" w:cs="Calibri"/>
                <w:color w:val="000000"/>
                <w:sz w:val="18"/>
                <w:szCs w:val="18"/>
              </w:rPr>
            </w:pPr>
            <w:r w:rsidRPr="00D32497">
              <w:rPr>
                <w:rFonts w:ascii="Calibri" w:hAnsi="Calibri" w:cs="Calibri"/>
                <w:color w:val="000000"/>
                <w:sz w:val="18"/>
                <w:szCs w:val="18"/>
              </w:rPr>
              <w:t>$</w:t>
            </w:r>
            <w:r>
              <w:rPr>
                <w:rFonts w:ascii="Calibri" w:hAnsi="Calibri" w:cs="Calibri"/>
                <w:color w:val="000000"/>
                <w:sz w:val="18"/>
                <w:szCs w:val="18"/>
              </w:rPr>
              <w:t xml:space="preserve">      </w:t>
            </w:r>
            <w:r w:rsidRPr="00D32497">
              <w:rPr>
                <w:rFonts w:ascii="Calibri" w:hAnsi="Calibri" w:cs="Calibri"/>
                <w:color w:val="000000"/>
                <w:sz w:val="18"/>
                <w:szCs w:val="18"/>
              </w:rPr>
              <w:t>48,038,344</w:t>
            </w:r>
          </w:p>
        </w:tc>
      </w:tr>
      <w:tr w:rsidR="00202300" w:rsidRPr="00202300" w14:paraId="6ECB35B2" w14:textId="77777777" w:rsidTr="00772C19">
        <w:trPr>
          <w:trHeight w:val="300"/>
          <w:jc w:val="center"/>
        </w:trPr>
        <w:tc>
          <w:tcPr>
            <w:tcW w:w="805" w:type="dxa"/>
            <w:tcBorders>
              <w:top w:val="nil"/>
              <w:left w:val="single" w:sz="4" w:space="0" w:color="auto"/>
              <w:bottom w:val="nil"/>
              <w:right w:val="single" w:sz="4" w:space="0" w:color="auto"/>
            </w:tcBorders>
            <w:shd w:val="clear" w:color="auto" w:fill="auto"/>
            <w:noWrap/>
            <w:vAlign w:val="bottom"/>
            <w:hideMark/>
          </w:tcPr>
          <w:p w14:paraId="4E9D1760" w14:textId="77777777" w:rsidR="00202300" w:rsidRPr="00202300" w:rsidRDefault="00202300" w:rsidP="00202300">
            <w:pPr>
              <w:jc w:val="center"/>
              <w:rPr>
                <w:rFonts w:ascii="Calibri" w:hAnsi="Calibri" w:cs="Calibri"/>
                <w:color w:val="000000"/>
                <w:sz w:val="18"/>
                <w:szCs w:val="18"/>
              </w:rPr>
            </w:pPr>
            <w:r w:rsidRPr="00202300">
              <w:rPr>
                <w:rFonts w:ascii="Calibri" w:hAnsi="Calibri" w:cs="Calibri"/>
                <w:color w:val="000000"/>
                <w:sz w:val="18"/>
                <w:szCs w:val="18"/>
              </w:rPr>
              <w:t>2</w:t>
            </w:r>
          </w:p>
        </w:tc>
        <w:tc>
          <w:tcPr>
            <w:tcW w:w="2368" w:type="dxa"/>
            <w:tcBorders>
              <w:top w:val="nil"/>
              <w:left w:val="nil"/>
              <w:bottom w:val="single" w:sz="4" w:space="0" w:color="auto"/>
              <w:right w:val="nil"/>
            </w:tcBorders>
            <w:shd w:val="clear" w:color="auto" w:fill="auto"/>
            <w:noWrap/>
            <w:vAlign w:val="bottom"/>
            <w:hideMark/>
          </w:tcPr>
          <w:p w14:paraId="7B968D85" w14:textId="7E2B5997" w:rsidR="00202300" w:rsidRPr="00202300" w:rsidRDefault="00202300" w:rsidP="00202300">
            <w:pPr>
              <w:rPr>
                <w:rFonts w:ascii="Calibri" w:hAnsi="Calibri" w:cs="Calibri"/>
                <w:color w:val="000000"/>
                <w:sz w:val="18"/>
                <w:szCs w:val="18"/>
              </w:rPr>
            </w:pPr>
            <w:r w:rsidRPr="00202300">
              <w:rPr>
                <w:rFonts w:ascii="Calibri" w:hAnsi="Calibri" w:cs="Calibri"/>
                <w:color w:val="000000"/>
                <w:sz w:val="18"/>
                <w:szCs w:val="18"/>
              </w:rPr>
              <w:t xml:space="preserve">PCA </w:t>
            </w:r>
            <w:r>
              <w:rPr>
                <w:rFonts w:ascii="Calibri" w:hAnsi="Calibri" w:cs="Calibri"/>
                <w:color w:val="000000"/>
                <w:sz w:val="18"/>
                <w:szCs w:val="18"/>
              </w:rPr>
              <w:t>Balancing Adjustment</w:t>
            </w:r>
          </w:p>
        </w:tc>
        <w:tc>
          <w:tcPr>
            <w:tcW w:w="1772" w:type="dxa"/>
            <w:tcBorders>
              <w:top w:val="nil"/>
              <w:left w:val="nil"/>
              <w:bottom w:val="single" w:sz="4" w:space="0" w:color="auto"/>
              <w:right w:val="nil"/>
            </w:tcBorders>
            <w:shd w:val="clear" w:color="auto" w:fill="auto"/>
            <w:noWrap/>
            <w:vAlign w:val="bottom"/>
            <w:hideMark/>
          </w:tcPr>
          <w:p w14:paraId="59C02ABD" w14:textId="766F1888" w:rsidR="00202300" w:rsidRPr="00202300" w:rsidRDefault="00202300" w:rsidP="00772C19">
            <w:pPr>
              <w:jc w:val="right"/>
              <w:rPr>
                <w:rFonts w:ascii="Calibri" w:hAnsi="Calibri" w:cs="Calibri"/>
                <w:color w:val="000000"/>
                <w:sz w:val="18"/>
                <w:szCs w:val="18"/>
              </w:rPr>
            </w:pPr>
            <w:r w:rsidRPr="00202300">
              <w:rPr>
                <w:rFonts w:ascii="Calibri" w:hAnsi="Calibri" w:cs="Calibri"/>
                <w:color w:val="000000"/>
                <w:sz w:val="18"/>
                <w:szCs w:val="18"/>
              </w:rPr>
              <w:t xml:space="preserve"> $             </w:t>
            </w:r>
            <w:r w:rsidR="00106295">
              <w:rPr>
                <w:rFonts w:ascii="Calibri" w:hAnsi="Calibri" w:cs="Calibri"/>
                <w:color w:val="000000"/>
                <w:sz w:val="18"/>
                <w:szCs w:val="18"/>
              </w:rPr>
              <w:t>38,583,273</w:t>
            </w:r>
            <w:r w:rsidRPr="00202300">
              <w:rPr>
                <w:rFonts w:ascii="Calibri" w:hAnsi="Calibri" w:cs="Calibri"/>
                <w:color w:val="000000"/>
                <w:sz w:val="18"/>
                <w:szCs w:val="18"/>
              </w:rPr>
              <w:t xml:space="preserve"> </w:t>
            </w:r>
          </w:p>
        </w:tc>
        <w:tc>
          <w:tcPr>
            <w:tcW w:w="1800" w:type="dxa"/>
            <w:tcBorders>
              <w:top w:val="nil"/>
              <w:left w:val="nil"/>
              <w:bottom w:val="single" w:sz="4" w:space="0" w:color="auto"/>
              <w:right w:val="nil"/>
            </w:tcBorders>
            <w:shd w:val="clear" w:color="auto" w:fill="auto"/>
            <w:noWrap/>
            <w:vAlign w:val="bottom"/>
            <w:hideMark/>
          </w:tcPr>
          <w:p w14:paraId="3C348594" w14:textId="3D1C919F" w:rsidR="00202300" w:rsidRPr="00202300" w:rsidRDefault="00202300" w:rsidP="00202300">
            <w:pPr>
              <w:jc w:val="right"/>
              <w:rPr>
                <w:rFonts w:ascii="Calibri" w:hAnsi="Calibri" w:cs="Calibri"/>
                <w:color w:val="000000"/>
                <w:sz w:val="18"/>
                <w:szCs w:val="18"/>
              </w:rPr>
            </w:pPr>
            <w:r w:rsidRPr="00202300">
              <w:rPr>
                <w:rFonts w:ascii="Calibri" w:hAnsi="Calibri" w:cs="Calibri"/>
                <w:color w:val="000000"/>
                <w:sz w:val="18"/>
                <w:szCs w:val="18"/>
              </w:rPr>
              <w:t xml:space="preserve"> $        </w:t>
            </w:r>
            <w:r w:rsidR="00090EE7">
              <w:rPr>
                <w:rFonts w:ascii="Calibri" w:hAnsi="Calibri" w:cs="Calibri"/>
                <w:color w:val="000000"/>
                <w:sz w:val="18"/>
                <w:szCs w:val="18"/>
              </w:rPr>
              <w:t>190,208,504</w:t>
            </w:r>
            <w:r w:rsidRPr="00202300">
              <w:rPr>
                <w:rFonts w:ascii="Calibri" w:hAnsi="Calibri" w:cs="Calibri"/>
                <w:color w:val="000000"/>
                <w:sz w:val="18"/>
                <w:szCs w:val="18"/>
              </w:rPr>
              <w:t xml:space="preserve"> </w:t>
            </w:r>
          </w:p>
        </w:tc>
        <w:tc>
          <w:tcPr>
            <w:tcW w:w="1890" w:type="dxa"/>
            <w:tcBorders>
              <w:top w:val="nil"/>
              <w:left w:val="nil"/>
              <w:bottom w:val="single" w:sz="4" w:space="0" w:color="auto"/>
              <w:right w:val="single" w:sz="4" w:space="0" w:color="auto"/>
            </w:tcBorders>
            <w:shd w:val="clear" w:color="auto" w:fill="auto"/>
            <w:noWrap/>
            <w:vAlign w:val="bottom"/>
            <w:hideMark/>
          </w:tcPr>
          <w:p w14:paraId="45F54E57" w14:textId="3C3DBE73" w:rsidR="00202300" w:rsidRPr="00202300" w:rsidRDefault="00202300" w:rsidP="00772C19">
            <w:pPr>
              <w:jc w:val="right"/>
              <w:rPr>
                <w:rFonts w:ascii="Calibri" w:hAnsi="Calibri" w:cs="Calibri"/>
                <w:color w:val="000000"/>
                <w:sz w:val="18"/>
                <w:szCs w:val="18"/>
              </w:rPr>
            </w:pPr>
            <w:r w:rsidRPr="00202300">
              <w:rPr>
                <w:rFonts w:ascii="Calibri" w:hAnsi="Calibri" w:cs="Calibri"/>
                <w:color w:val="000000"/>
                <w:sz w:val="18"/>
                <w:szCs w:val="18"/>
              </w:rPr>
              <w:t xml:space="preserve"> </w:t>
            </w:r>
            <w:r w:rsidR="00D32497" w:rsidRPr="00D32497">
              <w:rPr>
                <w:rFonts w:ascii="Calibri" w:hAnsi="Calibri" w:cs="Calibri"/>
                <w:color w:val="000000"/>
                <w:sz w:val="18"/>
                <w:szCs w:val="18"/>
              </w:rPr>
              <w:t xml:space="preserve"> $</w:t>
            </w:r>
            <w:r w:rsidR="00D32497">
              <w:rPr>
                <w:rFonts w:ascii="Calibri" w:hAnsi="Calibri" w:cs="Calibri"/>
                <w:color w:val="000000"/>
                <w:sz w:val="18"/>
                <w:szCs w:val="18"/>
              </w:rPr>
              <w:t xml:space="preserve">    </w:t>
            </w:r>
            <w:r w:rsidR="00D32497" w:rsidRPr="00D32497">
              <w:rPr>
                <w:rFonts w:ascii="Calibri" w:hAnsi="Calibri" w:cs="Calibri"/>
                <w:color w:val="000000"/>
                <w:sz w:val="18"/>
                <w:szCs w:val="18"/>
              </w:rPr>
              <w:t>151,625,231</w:t>
            </w:r>
          </w:p>
        </w:tc>
      </w:tr>
      <w:tr w:rsidR="00202300" w:rsidRPr="00202300" w14:paraId="4284BCA8" w14:textId="77777777" w:rsidTr="00772C19">
        <w:trPr>
          <w:trHeight w:val="300"/>
          <w:jc w:val="center"/>
        </w:trPr>
        <w:tc>
          <w:tcPr>
            <w:tcW w:w="805" w:type="dxa"/>
            <w:tcBorders>
              <w:top w:val="nil"/>
              <w:left w:val="single" w:sz="4" w:space="0" w:color="auto"/>
              <w:bottom w:val="nil"/>
              <w:right w:val="single" w:sz="4" w:space="0" w:color="auto"/>
            </w:tcBorders>
            <w:shd w:val="clear" w:color="auto" w:fill="auto"/>
            <w:noWrap/>
            <w:vAlign w:val="bottom"/>
            <w:hideMark/>
          </w:tcPr>
          <w:p w14:paraId="04D7E28E" w14:textId="77777777" w:rsidR="00202300" w:rsidRPr="00202300" w:rsidRDefault="00202300" w:rsidP="00202300">
            <w:pPr>
              <w:jc w:val="center"/>
              <w:rPr>
                <w:rFonts w:ascii="Calibri" w:hAnsi="Calibri" w:cs="Calibri"/>
                <w:color w:val="000000"/>
                <w:sz w:val="18"/>
                <w:szCs w:val="18"/>
              </w:rPr>
            </w:pPr>
            <w:r w:rsidRPr="00202300">
              <w:rPr>
                <w:rFonts w:ascii="Calibri" w:hAnsi="Calibri" w:cs="Calibri"/>
                <w:color w:val="000000"/>
                <w:sz w:val="18"/>
                <w:szCs w:val="18"/>
              </w:rPr>
              <w:t>3</w:t>
            </w:r>
          </w:p>
        </w:tc>
        <w:tc>
          <w:tcPr>
            <w:tcW w:w="2368" w:type="dxa"/>
            <w:tcBorders>
              <w:top w:val="single" w:sz="4" w:space="0" w:color="auto"/>
              <w:left w:val="nil"/>
              <w:bottom w:val="nil"/>
              <w:right w:val="nil"/>
            </w:tcBorders>
            <w:shd w:val="clear" w:color="auto" w:fill="auto"/>
            <w:noWrap/>
            <w:vAlign w:val="bottom"/>
            <w:hideMark/>
          </w:tcPr>
          <w:p w14:paraId="691B22D9" w14:textId="77777777" w:rsidR="00202300" w:rsidRPr="00202300" w:rsidRDefault="00202300" w:rsidP="00202300">
            <w:pPr>
              <w:ind w:firstLineChars="200" w:firstLine="360"/>
              <w:rPr>
                <w:rFonts w:ascii="Calibri" w:hAnsi="Calibri" w:cs="Calibri"/>
                <w:color w:val="000000"/>
                <w:sz w:val="18"/>
                <w:szCs w:val="18"/>
              </w:rPr>
            </w:pPr>
            <w:r w:rsidRPr="00202300">
              <w:rPr>
                <w:rFonts w:ascii="Calibri" w:hAnsi="Calibri" w:cs="Calibri"/>
                <w:color w:val="000000"/>
                <w:sz w:val="18"/>
                <w:szCs w:val="18"/>
              </w:rPr>
              <w:t>PCA Total</w:t>
            </w:r>
          </w:p>
        </w:tc>
        <w:tc>
          <w:tcPr>
            <w:tcW w:w="1772" w:type="dxa"/>
            <w:tcBorders>
              <w:top w:val="nil"/>
              <w:left w:val="nil"/>
              <w:bottom w:val="nil"/>
              <w:right w:val="nil"/>
            </w:tcBorders>
            <w:shd w:val="clear" w:color="auto" w:fill="auto"/>
            <w:noWrap/>
            <w:vAlign w:val="bottom"/>
            <w:hideMark/>
          </w:tcPr>
          <w:p w14:paraId="5114C0B0" w14:textId="322A780D" w:rsidR="00202300" w:rsidRPr="00202300" w:rsidRDefault="00202300" w:rsidP="00772C19">
            <w:pPr>
              <w:jc w:val="right"/>
              <w:rPr>
                <w:rFonts w:ascii="Calibri" w:hAnsi="Calibri" w:cs="Calibri"/>
                <w:color w:val="000000"/>
                <w:sz w:val="18"/>
                <w:szCs w:val="18"/>
              </w:rPr>
            </w:pPr>
            <w:r w:rsidRPr="00202300">
              <w:rPr>
                <w:rFonts w:ascii="Calibri" w:hAnsi="Calibri" w:cs="Calibri"/>
                <w:color w:val="000000"/>
                <w:sz w:val="18"/>
                <w:szCs w:val="18"/>
              </w:rPr>
              <w:t xml:space="preserve"> $           </w:t>
            </w:r>
            <w:r w:rsidR="00106295">
              <w:rPr>
                <w:rFonts w:ascii="Calibri" w:hAnsi="Calibri" w:cs="Calibri"/>
                <w:color w:val="000000"/>
                <w:sz w:val="18"/>
                <w:szCs w:val="18"/>
              </w:rPr>
              <w:t>208,550,146</w:t>
            </w:r>
            <w:r w:rsidRPr="00202300">
              <w:rPr>
                <w:rFonts w:ascii="Calibri" w:hAnsi="Calibri" w:cs="Calibri"/>
                <w:color w:val="000000"/>
                <w:sz w:val="18"/>
                <w:szCs w:val="18"/>
              </w:rPr>
              <w:t xml:space="preserve"> </w:t>
            </w:r>
          </w:p>
        </w:tc>
        <w:tc>
          <w:tcPr>
            <w:tcW w:w="1800" w:type="dxa"/>
            <w:tcBorders>
              <w:top w:val="nil"/>
              <w:left w:val="nil"/>
              <w:bottom w:val="nil"/>
              <w:right w:val="nil"/>
            </w:tcBorders>
            <w:shd w:val="clear" w:color="auto" w:fill="auto"/>
            <w:noWrap/>
            <w:vAlign w:val="bottom"/>
            <w:hideMark/>
          </w:tcPr>
          <w:p w14:paraId="24310252" w14:textId="686595FB" w:rsidR="00202300" w:rsidRPr="00202300" w:rsidRDefault="00E11049" w:rsidP="00772C19">
            <w:pPr>
              <w:jc w:val="right"/>
              <w:rPr>
                <w:rFonts w:ascii="Calibri" w:hAnsi="Calibri" w:cs="Calibri"/>
                <w:color w:val="000000"/>
                <w:sz w:val="18"/>
                <w:szCs w:val="18"/>
              </w:rPr>
            </w:pPr>
            <w:r w:rsidRPr="00E11049">
              <w:rPr>
                <w:rFonts w:ascii="Calibri" w:hAnsi="Calibri" w:cs="Calibri"/>
                <w:color w:val="000000"/>
                <w:sz w:val="18"/>
                <w:szCs w:val="18"/>
              </w:rPr>
              <w:t>$</w:t>
            </w:r>
            <w:r>
              <w:rPr>
                <w:rFonts w:ascii="Calibri" w:hAnsi="Calibri" w:cs="Calibri"/>
                <w:color w:val="000000"/>
                <w:sz w:val="18"/>
                <w:szCs w:val="18"/>
              </w:rPr>
              <w:t xml:space="preserve">        </w:t>
            </w:r>
            <w:r w:rsidRPr="00E11049">
              <w:rPr>
                <w:rFonts w:ascii="Calibri" w:hAnsi="Calibri" w:cs="Calibri"/>
                <w:color w:val="000000"/>
                <w:sz w:val="18"/>
                <w:szCs w:val="18"/>
              </w:rPr>
              <w:t>408,213,721</w:t>
            </w:r>
          </w:p>
        </w:tc>
        <w:tc>
          <w:tcPr>
            <w:tcW w:w="1890" w:type="dxa"/>
            <w:tcBorders>
              <w:top w:val="nil"/>
              <w:left w:val="nil"/>
              <w:bottom w:val="nil"/>
              <w:right w:val="single" w:sz="4" w:space="0" w:color="auto"/>
            </w:tcBorders>
            <w:shd w:val="clear" w:color="auto" w:fill="auto"/>
            <w:noWrap/>
            <w:vAlign w:val="bottom"/>
            <w:hideMark/>
          </w:tcPr>
          <w:p w14:paraId="0732CA3A" w14:textId="6341C916" w:rsidR="00202300" w:rsidRPr="00202300" w:rsidRDefault="00D32497" w:rsidP="00772C19">
            <w:pPr>
              <w:jc w:val="right"/>
              <w:rPr>
                <w:rFonts w:ascii="Calibri" w:hAnsi="Calibri" w:cs="Calibri"/>
                <w:color w:val="000000"/>
                <w:sz w:val="18"/>
                <w:szCs w:val="18"/>
              </w:rPr>
            </w:pPr>
            <w:r w:rsidRPr="00D32497">
              <w:rPr>
                <w:rFonts w:ascii="Calibri" w:hAnsi="Calibri" w:cs="Calibri"/>
                <w:color w:val="000000"/>
                <w:sz w:val="18"/>
                <w:szCs w:val="18"/>
              </w:rPr>
              <w:t>$</w:t>
            </w:r>
            <w:r>
              <w:rPr>
                <w:rFonts w:ascii="Calibri" w:hAnsi="Calibri" w:cs="Calibri"/>
                <w:color w:val="000000"/>
                <w:sz w:val="18"/>
                <w:szCs w:val="18"/>
              </w:rPr>
              <w:t xml:space="preserve">    </w:t>
            </w:r>
            <w:r w:rsidRPr="00D32497">
              <w:rPr>
                <w:rFonts w:ascii="Calibri" w:hAnsi="Calibri" w:cs="Calibri"/>
                <w:color w:val="000000"/>
                <w:sz w:val="18"/>
                <w:szCs w:val="18"/>
              </w:rPr>
              <w:t>199,663,575</w:t>
            </w:r>
          </w:p>
        </w:tc>
      </w:tr>
      <w:tr w:rsidR="00202300" w:rsidRPr="00202300" w14:paraId="4F7167BB" w14:textId="77777777" w:rsidTr="00772C19">
        <w:trPr>
          <w:trHeight w:val="300"/>
          <w:jc w:val="center"/>
        </w:trPr>
        <w:tc>
          <w:tcPr>
            <w:tcW w:w="805" w:type="dxa"/>
            <w:tcBorders>
              <w:top w:val="nil"/>
              <w:left w:val="single" w:sz="4" w:space="0" w:color="auto"/>
              <w:bottom w:val="nil"/>
              <w:right w:val="single" w:sz="4" w:space="0" w:color="auto"/>
            </w:tcBorders>
            <w:shd w:val="clear" w:color="auto" w:fill="auto"/>
            <w:noWrap/>
            <w:vAlign w:val="bottom"/>
            <w:hideMark/>
          </w:tcPr>
          <w:p w14:paraId="79464B99" w14:textId="77777777" w:rsidR="00202300" w:rsidRPr="00202300" w:rsidRDefault="00202300" w:rsidP="00202300">
            <w:pPr>
              <w:jc w:val="center"/>
              <w:rPr>
                <w:rFonts w:ascii="Calibri" w:hAnsi="Calibri" w:cs="Calibri"/>
                <w:color w:val="000000"/>
                <w:sz w:val="18"/>
                <w:szCs w:val="18"/>
              </w:rPr>
            </w:pPr>
            <w:r w:rsidRPr="00202300">
              <w:rPr>
                <w:rFonts w:ascii="Calibri" w:hAnsi="Calibri" w:cs="Calibri"/>
                <w:color w:val="000000"/>
                <w:sz w:val="18"/>
                <w:szCs w:val="18"/>
              </w:rPr>
              <w:t>4</w:t>
            </w:r>
          </w:p>
        </w:tc>
        <w:tc>
          <w:tcPr>
            <w:tcW w:w="2368" w:type="dxa"/>
            <w:tcBorders>
              <w:top w:val="nil"/>
              <w:left w:val="nil"/>
              <w:bottom w:val="nil"/>
              <w:right w:val="nil"/>
            </w:tcBorders>
            <w:shd w:val="clear" w:color="auto" w:fill="auto"/>
            <w:noWrap/>
            <w:vAlign w:val="bottom"/>
            <w:hideMark/>
          </w:tcPr>
          <w:p w14:paraId="18CF333B" w14:textId="77777777" w:rsidR="00202300" w:rsidRPr="00202300" w:rsidRDefault="00202300" w:rsidP="00202300">
            <w:pPr>
              <w:rPr>
                <w:rFonts w:ascii="Calibri" w:hAnsi="Calibri" w:cs="Calibri"/>
                <w:color w:val="000000"/>
                <w:sz w:val="18"/>
                <w:szCs w:val="18"/>
              </w:rPr>
            </w:pPr>
            <w:r w:rsidRPr="00202300">
              <w:rPr>
                <w:rFonts w:ascii="Calibri" w:hAnsi="Calibri" w:cs="Calibri"/>
                <w:color w:val="000000"/>
                <w:sz w:val="18"/>
                <w:szCs w:val="18"/>
              </w:rPr>
              <w:t>Revenue Sharing</w:t>
            </w:r>
          </w:p>
        </w:tc>
        <w:tc>
          <w:tcPr>
            <w:tcW w:w="1772" w:type="dxa"/>
            <w:tcBorders>
              <w:top w:val="nil"/>
              <w:left w:val="nil"/>
              <w:bottom w:val="nil"/>
              <w:right w:val="nil"/>
            </w:tcBorders>
            <w:shd w:val="clear" w:color="auto" w:fill="auto"/>
            <w:noWrap/>
            <w:vAlign w:val="bottom"/>
            <w:hideMark/>
          </w:tcPr>
          <w:p w14:paraId="5FED21A5" w14:textId="267EC776" w:rsidR="00202300" w:rsidRPr="00202300" w:rsidRDefault="00202300" w:rsidP="00772C19">
            <w:pPr>
              <w:jc w:val="right"/>
              <w:rPr>
                <w:rFonts w:ascii="Calibri" w:hAnsi="Calibri" w:cs="Calibri"/>
                <w:color w:val="000000"/>
                <w:sz w:val="18"/>
                <w:szCs w:val="18"/>
              </w:rPr>
            </w:pPr>
            <w:r w:rsidRPr="00202300">
              <w:rPr>
                <w:rFonts w:ascii="Calibri" w:hAnsi="Calibri" w:cs="Calibri"/>
                <w:color w:val="000000"/>
                <w:sz w:val="18"/>
                <w:szCs w:val="18"/>
              </w:rPr>
              <w:t xml:space="preserve"> $                (568,</w:t>
            </w:r>
            <w:r w:rsidR="00444B8B">
              <w:rPr>
                <w:rFonts w:ascii="Calibri" w:hAnsi="Calibri" w:cs="Calibri"/>
                <w:color w:val="000000"/>
                <w:sz w:val="18"/>
                <w:szCs w:val="18"/>
              </w:rPr>
              <w:t>435</w:t>
            </w:r>
            <w:r w:rsidRPr="00202300">
              <w:rPr>
                <w:rFonts w:ascii="Calibri" w:hAnsi="Calibri" w:cs="Calibri"/>
                <w:color w:val="000000"/>
                <w:sz w:val="18"/>
                <w:szCs w:val="18"/>
              </w:rPr>
              <w:t>)</w:t>
            </w:r>
          </w:p>
        </w:tc>
        <w:tc>
          <w:tcPr>
            <w:tcW w:w="1800" w:type="dxa"/>
            <w:tcBorders>
              <w:top w:val="nil"/>
              <w:left w:val="nil"/>
              <w:bottom w:val="nil"/>
              <w:right w:val="nil"/>
            </w:tcBorders>
            <w:shd w:val="clear" w:color="auto" w:fill="auto"/>
            <w:noWrap/>
            <w:vAlign w:val="bottom"/>
            <w:hideMark/>
          </w:tcPr>
          <w:p w14:paraId="27308E29" w14:textId="6844B6D2" w:rsidR="00202300" w:rsidRPr="00202300" w:rsidRDefault="00202300" w:rsidP="00202300">
            <w:pPr>
              <w:jc w:val="right"/>
              <w:rPr>
                <w:rFonts w:ascii="Calibri" w:hAnsi="Calibri" w:cs="Calibri"/>
                <w:sz w:val="18"/>
                <w:szCs w:val="18"/>
              </w:rPr>
            </w:pPr>
            <w:r w:rsidRPr="00202300">
              <w:rPr>
                <w:rFonts w:ascii="Calibri" w:hAnsi="Calibri" w:cs="Calibri"/>
                <w:sz w:val="18"/>
                <w:szCs w:val="18"/>
              </w:rPr>
              <w:t xml:space="preserve"> $  </w:t>
            </w:r>
            <w:r w:rsidR="00772C19">
              <w:rPr>
                <w:rFonts w:ascii="Calibri" w:hAnsi="Calibri" w:cs="Calibri"/>
                <w:sz w:val="18"/>
                <w:szCs w:val="18"/>
              </w:rPr>
              <w:t xml:space="preserve">                       </w:t>
            </w:r>
            <w:r w:rsidRPr="00202300">
              <w:rPr>
                <w:rFonts w:ascii="Calibri" w:hAnsi="Calibri" w:cs="Calibri"/>
                <w:sz w:val="18"/>
                <w:szCs w:val="18"/>
              </w:rPr>
              <w:t xml:space="preserve">   </w:t>
            </w:r>
            <w:r w:rsidR="00772C19">
              <w:rPr>
                <w:rFonts w:ascii="Calibri" w:hAnsi="Calibri" w:cs="Calibri"/>
                <w:sz w:val="18"/>
                <w:szCs w:val="18"/>
              </w:rPr>
              <w:t>0</w:t>
            </w:r>
            <w:r w:rsidRPr="00202300">
              <w:rPr>
                <w:rFonts w:ascii="Calibri" w:hAnsi="Calibri" w:cs="Calibri"/>
                <w:sz w:val="18"/>
                <w:szCs w:val="18"/>
              </w:rPr>
              <w:t xml:space="preserve">   </w:t>
            </w:r>
          </w:p>
        </w:tc>
        <w:tc>
          <w:tcPr>
            <w:tcW w:w="1890" w:type="dxa"/>
            <w:tcBorders>
              <w:top w:val="nil"/>
              <w:left w:val="nil"/>
              <w:bottom w:val="nil"/>
              <w:right w:val="single" w:sz="4" w:space="0" w:color="auto"/>
            </w:tcBorders>
            <w:shd w:val="clear" w:color="auto" w:fill="auto"/>
            <w:noWrap/>
            <w:vAlign w:val="bottom"/>
            <w:hideMark/>
          </w:tcPr>
          <w:p w14:paraId="0CCA7EDC" w14:textId="6DCC3552" w:rsidR="00202300" w:rsidRPr="00202300" w:rsidRDefault="00202300" w:rsidP="00772C19">
            <w:pPr>
              <w:jc w:val="right"/>
              <w:rPr>
                <w:rFonts w:ascii="Calibri" w:hAnsi="Calibri" w:cs="Calibri"/>
                <w:color w:val="000000"/>
                <w:sz w:val="18"/>
                <w:szCs w:val="18"/>
              </w:rPr>
            </w:pPr>
            <w:r w:rsidRPr="00202300">
              <w:rPr>
                <w:rFonts w:ascii="Calibri" w:hAnsi="Calibri" w:cs="Calibri"/>
                <w:color w:val="000000"/>
                <w:sz w:val="18"/>
                <w:szCs w:val="18"/>
              </w:rPr>
              <w:t xml:space="preserve"> $           568,</w:t>
            </w:r>
            <w:r w:rsidR="00444B8B">
              <w:rPr>
                <w:rFonts w:ascii="Calibri" w:hAnsi="Calibri" w:cs="Calibri"/>
                <w:color w:val="000000"/>
                <w:sz w:val="18"/>
                <w:szCs w:val="18"/>
              </w:rPr>
              <w:t>435</w:t>
            </w:r>
            <w:r w:rsidRPr="00202300">
              <w:rPr>
                <w:rFonts w:ascii="Calibri" w:hAnsi="Calibri" w:cs="Calibri"/>
                <w:color w:val="000000"/>
                <w:sz w:val="18"/>
                <w:szCs w:val="18"/>
              </w:rPr>
              <w:t xml:space="preserve"> </w:t>
            </w:r>
          </w:p>
        </w:tc>
      </w:tr>
      <w:tr w:rsidR="00202300" w:rsidRPr="00202300" w14:paraId="34D9912C" w14:textId="77777777" w:rsidTr="00772C19">
        <w:trPr>
          <w:trHeight w:val="300"/>
          <w:jc w:val="center"/>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CA55869" w14:textId="77777777" w:rsidR="00202300" w:rsidRPr="00202300" w:rsidRDefault="00202300" w:rsidP="00202300">
            <w:pPr>
              <w:jc w:val="center"/>
              <w:rPr>
                <w:rFonts w:ascii="Calibri" w:hAnsi="Calibri" w:cs="Calibri"/>
                <w:color w:val="000000"/>
                <w:sz w:val="18"/>
                <w:szCs w:val="18"/>
              </w:rPr>
            </w:pPr>
            <w:r w:rsidRPr="00202300">
              <w:rPr>
                <w:rFonts w:ascii="Calibri" w:hAnsi="Calibri" w:cs="Calibri"/>
                <w:color w:val="000000"/>
                <w:sz w:val="18"/>
                <w:szCs w:val="18"/>
              </w:rPr>
              <w:t>5</w:t>
            </w:r>
          </w:p>
        </w:tc>
        <w:tc>
          <w:tcPr>
            <w:tcW w:w="2368" w:type="dxa"/>
            <w:tcBorders>
              <w:top w:val="single" w:sz="4" w:space="0" w:color="auto"/>
              <w:left w:val="nil"/>
              <w:bottom w:val="single" w:sz="4" w:space="0" w:color="auto"/>
              <w:right w:val="nil"/>
            </w:tcBorders>
            <w:shd w:val="clear" w:color="auto" w:fill="auto"/>
            <w:noWrap/>
            <w:vAlign w:val="bottom"/>
            <w:hideMark/>
          </w:tcPr>
          <w:p w14:paraId="7E3D8810" w14:textId="77777777" w:rsidR="00202300" w:rsidRPr="00202300" w:rsidRDefault="00202300" w:rsidP="00202300">
            <w:pPr>
              <w:rPr>
                <w:rFonts w:ascii="Calibri" w:hAnsi="Calibri" w:cs="Calibri"/>
                <w:b/>
                <w:bCs/>
                <w:color w:val="000000"/>
                <w:sz w:val="18"/>
                <w:szCs w:val="18"/>
              </w:rPr>
            </w:pPr>
            <w:r w:rsidRPr="00202300">
              <w:rPr>
                <w:rFonts w:ascii="Calibri" w:hAnsi="Calibri" w:cs="Calibri"/>
                <w:b/>
                <w:bCs/>
                <w:color w:val="000000"/>
                <w:sz w:val="18"/>
                <w:szCs w:val="18"/>
              </w:rPr>
              <w:t>Total Revenue Impact</w:t>
            </w:r>
          </w:p>
        </w:tc>
        <w:tc>
          <w:tcPr>
            <w:tcW w:w="1772" w:type="dxa"/>
            <w:tcBorders>
              <w:top w:val="single" w:sz="4" w:space="0" w:color="auto"/>
              <w:left w:val="nil"/>
              <w:bottom w:val="single" w:sz="4" w:space="0" w:color="auto"/>
              <w:right w:val="nil"/>
            </w:tcBorders>
            <w:shd w:val="clear" w:color="auto" w:fill="auto"/>
            <w:noWrap/>
            <w:vAlign w:val="bottom"/>
            <w:hideMark/>
          </w:tcPr>
          <w:p w14:paraId="1999B870" w14:textId="311FCB3A" w:rsidR="00202300" w:rsidRPr="00202300" w:rsidRDefault="00202300" w:rsidP="00772C19">
            <w:pPr>
              <w:jc w:val="right"/>
              <w:rPr>
                <w:rFonts w:ascii="Calibri" w:hAnsi="Calibri" w:cs="Calibri"/>
                <w:b/>
                <w:bCs/>
                <w:color w:val="000000"/>
                <w:sz w:val="18"/>
                <w:szCs w:val="18"/>
              </w:rPr>
            </w:pPr>
            <w:r w:rsidRPr="00202300">
              <w:rPr>
                <w:rFonts w:ascii="Calibri" w:hAnsi="Calibri" w:cs="Calibri"/>
                <w:b/>
                <w:bCs/>
                <w:color w:val="000000"/>
                <w:sz w:val="18"/>
                <w:szCs w:val="18"/>
              </w:rPr>
              <w:t xml:space="preserve"> $           </w:t>
            </w:r>
            <w:r w:rsidR="00444B8B">
              <w:rPr>
                <w:rFonts w:ascii="Calibri" w:hAnsi="Calibri" w:cs="Calibri"/>
                <w:b/>
                <w:bCs/>
                <w:color w:val="000000"/>
                <w:sz w:val="18"/>
                <w:szCs w:val="18"/>
              </w:rPr>
              <w:t>207,981</w:t>
            </w:r>
            <w:r w:rsidRPr="00202300">
              <w:rPr>
                <w:rFonts w:ascii="Calibri" w:hAnsi="Calibri" w:cs="Calibri"/>
                <w:b/>
                <w:bCs/>
                <w:color w:val="000000"/>
                <w:sz w:val="18"/>
                <w:szCs w:val="18"/>
              </w:rPr>
              <w:t>,</w:t>
            </w:r>
            <w:r w:rsidR="00444B8B">
              <w:rPr>
                <w:rFonts w:ascii="Calibri" w:hAnsi="Calibri" w:cs="Calibri"/>
                <w:b/>
                <w:bCs/>
                <w:color w:val="000000"/>
                <w:sz w:val="18"/>
                <w:szCs w:val="18"/>
              </w:rPr>
              <w:t>710</w:t>
            </w:r>
            <w:r w:rsidRPr="00202300">
              <w:rPr>
                <w:rFonts w:ascii="Calibri" w:hAnsi="Calibri" w:cs="Calibri"/>
                <w:b/>
                <w:bCs/>
                <w:color w:val="000000"/>
                <w:sz w:val="18"/>
                <w:szCs w:val="18"/>
              </w:rPr>
              <w:t xml:space="preserve"> </w:t>
            </w:r>
          </w:p>
        </w:tc>
        <w:tc>
          <w:tcPr>
            <w:tcW w:w="1800" w:type="dxa"/>
            <w:tcBorders>
              <w:top w:val="single" w:sz="4" w:space="0" w:color="auto"/>
              <w:left w:val="nil"/>
              <w:bottom w:val="single" w:sz="4" w:space="0" w:color="auto"/>
              <w:right w:val="nil"/>
            </w:tcBorders>
            <w:shd w:val="clear" w:color="auto" w:fill="auto"/>
            <w:noWrap/>
            <w:vAlign w:val="bottom"/>
            <w:hideMark/>
          </w:tcPr>
          <w:p w14:paraId="39456672" w14:textId="3D393CBC" w:rsidR="00202300" w:rsidRPr="00202300" w:rsidRDefault="00E11049" w:rsidP="00202300">
            <w:pPr>
              <w:jc w:val="right"/>
              <w:rPr>
                <w:rFonts w:ascii="Calibri" w:hAnsi="Calibri" w:cs="Calibri"/>
                <w:b/>
                <w:bCs/>
                <w:color w:val="000000"/>
                <w:sz w:val="18"/>
                <w:szCs w:val="18"/>
              </w:rPr>
            </w:pPr>
            <w:r w:rsidRPr="00E11049">
              <w:rPr>
                <w:rFonts w:ascii="Calibri" w:hAnsi="Calibri" w:cs="Calibri"/>
                <w:b/>
                <w:bCs/>
                <w:color w:val="000000"/>
                <w:sz w:val="18"/>
                <w:szCs w:val="18"/>
              </w:rPr>
              <w:t>$</w:t>
            </w:r>
            <w:r>
              <w:rPr>
                <w:rFonts w:ascii="Calibri" w:hAnsi="Calibri" w:cs="Calibri"/>
                <w:b/>
                <w:bCs/>
                <w:color w:val="000000"/>
                <w:sz w:val="18"/>
                <w:szCs w:val="18"/>
              </w:rPr>
              <w:t xml:space="preserve">       </w:t>
            </w:r>
            <w:r w:rsidRPr="00E11049">
              <w:rPr>
                <w:rFonts w:ascii="Calibri" w:hAnsi="Calibri" w:cs="Calibri"/>
                <w:b/>
                <w:bCs/>
                <w:color w:val="000000"/>
                <w:sz w:val="18"/>
                <w:szCs w:val="18"/>
              </w:rPr>
              <w:t>408,213,721</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36780160" w14:textId="0D9025DA" w:rsidR="00202300" w:rsidRPr="00202300" w:rsidRDefault="00202300" w:rsidP="00772C19">
            <w:pPr>
              <w:jc w:val="right"/>
              <w:rPr>
                <w:rFonts w:ascii="Calibri" w:hAnsi="Calibri" w:cs="Calibri"/>
                <w:b/>
                <w:bCs/>
                <w:color w:val="000000"/>
                <w:sz w:val="18"/>
                <w:szCs w:val="18"/>
              </w:rPr>
            </w:pPr>
            <w:r w:rsidRPr="00202300">
              <w:rPr>
                <w:rFonts w:ascii="Calibri" w:hAnsi="Calibri" w:cs="Calibri"/>
                <w:b/>
                <w:bCs/>
                <w:color w:val="000000"/>
                <w:sz w:val="18"/>
                <w:szCs w:val="18"/>
              </w:rPr>
              <w:t xml:space="preserve"> </w:t>
            </w:r>
            <w:r w:rsidR="00D32497" w:rsidRPr="00D32497">
              <w:rPr>
                <w:rFonts w:ascii="Calibri" w:hAnsi="Calibri" w:cs="Calibri"/>
                <w:b/>
                <w:bCs/>
                <w:color w:val="000000"/>
                <w:sz w:val="18"/>
                <w:szCs w:val="18"/>
              </w:rPr>
              <w:t xml:space="preserve"> $</w:t>
            </w:r>
            <w:r w:rsidR="00D32497">
              <w:rPr>
                <w:rFonts w:ascii="Calibri" w:hAnsi="Calibri" w:cs="Calibri"/>
                <w:b/>
                <w:bCs/>
                <w:color w:val="000000"/>
                <w:sz w:val="18"/>
                <w:szCs w:val="18"/>
              </w:rPr>
              <w:t xml:space="preserve">   </w:t>
            </w:r>
            <w:r w:rsidR="00D32497" w:rsidRPr="00D32497">
              <w:rPr>
                <w:rFonts w:ascii="Calibri" w:hAnsi="Calibri" w:cs="Calibri"/>
                <w:b/>
                <w:bCs/>
                <w:color w:val="000000"/>
                <w:sz w:val="18"/>
                <w:szCs w:val="18"/>
              </w:rPr>
              <w:t>200,232,011</w:t>
            </w:r>
          </w:p>
        </w:tc>
      </w:tr>
    </w:tbl>
    <w:p w14:paraId="23078B70" w14:textId="70AC6CA5" w:rsidR="00202300" w:rsidRDefault="00202300" w:rsidP="00202300">
      <w:pPr>
        <w:pStyle w:val="Testimony"/>
        <w:widowControl/>
        <w:tabs>
          <w:tab w:val="clear" w:pos="2160"/>
          <w:tab w:val="left" w:pos="1980"/>
        </w:tabs>
        <w:spacing w:line="456" w:lineRule="auto"/>
        <w:jc w:val="center"/>
        <w:rPr>
          <w:rFonts w:ascii="Courier New" w:hAnsi="Courier New" w:cs="Courier New"/>
        </w:rPr>
      </w:pPr>
    </w:p>
    <w:p w14:paraId="6FE19DBA" w14:textId="77777777" w:rsidR="005D4E82" w:rsidRDefault="005D4E82" w:rsidP="005D4E82">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Q.</w:t>
      </w:r>
      <w:r>
        <w:rPr>
          <w:rFonts w:ascii="Courier New" w:hAnsi="Courier New" w:cs="Courier New"/>
        </w:rPr>
        <w:tab/>
        <w:t xml:space="preserve">What are the main factors driving the revenue change requested in this case? </w:t>
      </w:r>
    </w:p>
    <w:p w14:paraId="3D6CE4E0" w14:textId="7F118D36" w:rsidR="00280572" w:rsidRDefault="00050DA3" w:rsidP="00280572">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A.</w:t>
      </w:r>
      <w:r>
        <w:rPr>
          <w:rFonts w:ascii="Courier New" w:hAnsi="Courier New" w:cs="Courier New"/>
        </w:rPr>
        <w:tab/>
      </w:r>
      <w:r w:rsidRPr="00586047">
        <w:t xml:space="preserve">The increase in this year’s PCA </w:t>
      </w:r>
      <w:r w:rsidR="004607DA" w:rsidRPr="00586047">
        <w:t xml:space="preserve">is </w:t>
      </w:r>
      <w:r w:rsidR="00495ED1">
        <w:t>driven by</w:t>
      </w:r>
      <w:r w:rsidR="004607DA" w:rsidRPr="00586047">
        <w:t xml:space="preserve"> a</w:t>
      </w:r>
      <w:r w:rsidR="00280572">
        <w:t xml:space="preserve">n increase in both the forecast component and the </w:t>
      </w:r>
      <w:r w:rsidR="00587EAC">
        <w:t>B</w:t>
      </w:r>
      <w:r w:rsidR="00EC4F8F">
        <w:t xml:space="preserve">alancing </w:t>
      </w:r>
      <w:r w:rsidR="00587EAC">
        <w:t>A</w:t>
      </w:r>
      <w:r w:rsidR="00EC4F8F">
        <w:t>djustment</w:t>
      </w:r>
      <w:r w:rsidR="00930B7C">
        <w:t>.</w:t>
      </w:r>
      <w:r w:rsidR="00495ED1">
        <w:t xml:space="preserve"> The increase in this year’s forecast component is attributed</w:t>
      </w:r>
      <w:r w:rsidR="00D83B52">
        <w:t xml:space="preserve"> primarily</w:t>
      </w:r>
      <w:r w:rsidR="00495ED1">
        <w:t xml:space="preserve"> to higher</w:t>
      </w:r>
      <w:r w:rsidR="00992A0C">
        <w:t xml:space="preserve"> forecast</w:t>
      </w:r>
      <w:r w:rsidR="00495ED1">
        <w:t xml:space="preserve"> market energy and natural gas prices, combined </w:t>
      </w:r>
      <w:r w:rsidR="00DE015E">
        <w:t xml:space="preserve">with </w:t>
      </w:r>
      <w:r w:rsidR="00772C19">
        <w:rPr>
          <w:rFonts w:ascii="Courier New" w:hAnsi="Courier New" w:cs="Courier New"/>
        </w:rPr>
        <w:t>a limited coal supply</w:t>
      </w:r>
      <w:r w:rsidR="00DE015E">
        <w:rPr>
          <w:rFonts w:ascii="Courier New" w:hAnsi="Courier New" w:cs="Courier New"/>
        </w:rPr>
        <w:t>.</w:t>
      </w:r>
      <w:r w:rsidR="00586047" w:rsidRPr="00586047">
        <w:rPr>
          <w:rFonts w:ascii="Courier New" w:hAnsi="Courier New" w:cs="Courier New"/>
        </w:rPr>
        <w:t xml:space="preserve"> </w:t>
      </w:r>
    </w:p>
    <w:p w14:paraId="58B9E57D" w14:textId="77777777" w:rsidR="001A1B8A" w:rsidRDefault="00253FD9" w:rsidP="00280572">
      <w:pPr>
        <w:pStyle w:val="Testimony"/>
        <w:widowControl/>
        <w:tabs>
          <w:tab w:val="clear" w:pos="2160"/>
          <w:tab w:val="left" w:pos="1980"/>
        </w:tabs>
        <w:spacing w:line="456" w:lineRule="auto"/>
      </w:pPr>
      <w:r>
        <w:t>As can be seen on Table 1, the Balancing Adjustment accounts for over 75 percent of the overall PCA revenue change</w:t>
      </w:r>
      <w:r w:rsidR="000A5DF7">
        <w:t>,</w:t>
      </w:r>
      <w:r>
        <w:t xml:space="preserve"> indicating that last year’s actual power costs were greater than forecast. </w:t>
      </w:r>
      <w:r w:rsidR="00495ED1">
        <w:t>Similar to the forecast component, the increase</w:t>
      </w:r>
      <w:r w:rsidR="00930B7C">
        <w:t xml:space="preserve"> in the Balancing Adjustment</w:t>
      </w:r>
      <w:r w:rsidR="00495ED1">
        <w:t xml:space="preserve"> is</w:t>
      </w:r>
      <w:r w:rsidR="00DE015E">
        <w:t xml:space="preserve"> largely</w:t>
      </w:r>
      <w:r w:rsidR="00495ED1">
        <w:t xml:space="preserve"> attributed to </w:t>
      </w:r>
      <w:r w:rsidR="00DE015E">
        <w:t>high</w:t>
      </w:r>
      <w:r w:rsidR="00495ED1">
        <w:t xml:space="preserve"> natural gas and market energy prices</w:t>
      </w:r>
      <w:r w:rsidR="00930B7C">
        <w:t xml:space="preserve"> during the 2022-2023 PCA Year,</w:t>
      </w:r>
      <w:r w:rsidR="00495ED1">
        <w:t xml:space="preserve"> combined with a limited coal </w:t>
      </w:r>
    </w:p>
    <w:p w14:paraId="779F7CEB" w14:textId="15AAE903" w:rsidR="001A1B8A" w:rsidRDefault="001A1B8A" w:rsidP="00280572">
      <w:pPr>
        <w:pStyle w:val="Testimony"/>
        <w:widowControl/>
        <w:tabs>
          <w:tab w:val="clear" w:pos="2160"/>
          <w:tab w:val="left" w:pos="1980"/>
        </w:tabs>
        <w:spacing w:line="456" w:lineRule="auto"/>
        <w:sectPr w:rsidR="001A1B8A" w:rsidSect="001A1B8A">
          <w:footerReference w:type="default" r:id="rId16"/>
          <w:pgSz w:w="12240" w:h="15840" w:code="1"/>
          <w:pgMar w:top="1440" w:right="1440" w:bottom="1440" w:left="2160" w:header="720" w:footer="720" w:gutter="0"/>
          <w:lnNumType w:countBy="1"/>
          <w:pgNumType w:start="6"/>
          <w:cols w:space="720"/>
          <w:noEndnote/>
        </w:sectPr>
      </w:pPr>
    </w:p>
    <w:p w14:paraId="1C162E4E" w14:textId="545DA0C5" w:rsidR="00DE015E" w:rsidRDefault="00495ED1" w:rsidP="001A1B8A">
      <w:pPr>
        <w:pStyle w:val="Testimony"/>
        <w:widowControl/>
        <w:tabs>
          <w:tab w:val="clear" w:pos="2160"/>
          <w:tab w:val="left" w:pos="1980"/>
        </w:tabs>
        <w:spacing w:line="456" w:lineRule="auto"/>
        <w:ind w:firstLine="0"/>
      </w:pPr>
      <w:r>
        <w:lastRenderedPageBreak/>
        <w:t>supply.</w:t>
      </w:r>
      <w:r w:rsidR="00DE015E" w:rsidRPr="00DE015E">
        <w:t xml:space="preserve"> </w:t>
      </w:r>
      <w:r w:rsidR="00DE015E">
        <w:t xml:space="preserve">In addition, hydro generation was </w:t>
      </w:r>
      <w:r w:rsidR="000A5DF7">
        <w:t>9</w:t>
      </w:r>
      <w:r w:rsidR="00DE015E">
        <w:t xml:space="preserve"> percent lower than forecast. </w:t>
      </w:r>
    </w:p>
    <w:p w14:paraId="1F23393F" w14:textId="4FF87B84" w:rsidR="00DE015E" w:rsidRDefault="00DE015E" w:rsidP="00280572">
      <w:pPr>
        <w:pStyle w:val="Testimony"/>
        <w:widowControl/>
        <w:tabs>
          <w:tab w:val="clear" w:pos="2160"/>
          <w:tab w:val="left" w:pos="1980"/>
        </w:tabs>
        <w:spacing w:line="456" w:lineRule="auto"/>
      </w:pPr>
      <w:r>
        <w:t xml:space="preserve">The price </w:t>
      </w:r>
      <w:r w:rsidR="00652ECB">
        <w:t>increases</w:t>
      </w:r>
      <w:r>
        <w:t xml:space="preserve"> in both the natural gas and energy markets, as well as the limited coal supply, will be discussed in more detail later in</w:t>
      </w:r>
      <w:r w:rsidR="00D83B52">
        <w:t xml:space="preserve"> this</w:t>
      </w:r>
      <w:r>
        <w:t xml:space="preserve"> testimony.</w:t>
      </w:r>
    </w:p>
    <w:p w14:paraId="1BA0DBE5" w14:textId="77777777" w:rsidR="00EA544F" w:rsidRPr="00864420" w:rsidRDefault="00022A04" w:rsidP="00864420">
      <w:pPr>
        <w:pStyle w:val="Testimony"/>
        <w:widowControl/>
        <w:tabs>
          <w:tab w:val="clear" w:pos="2160"/>
          <w:tab w:val="left" w:pos="720"/>
          <w:tab w:val="left" w:pos="1980"/>
        </w:tabs>
        <w:spacing w:line="456" w:lineRule="auto"/>
        <w:ind w:firstLine="0"/>
        <w:rPr>
          <w:rFonts w:ascii="Courier New" w:hAnsi="Courier New" w:cs="Courier New"/>
          <w:b/>
        </w:rPr>
      </w:pPr>
      <w:r>
        <w:rPr>
          <w:rFonts w:ascii="Courier New" w:hAnsi="Courier New" w:cs="Courier New"/>
          <w:b/>
        </w:rPr>
        <w:t>A</w:t>
      </w:r>
      <w:r w:rsidR="00EA544F" w:rsidRPr="00864420">
        <w:rPr>
          <w:rFonts w:ascii="Courier New" w:hAnsi="Courier New" w:cs="Courier New"/>
          <w:b/>
        </w:rPr>
        <w:t>.</w:t>
      </w:r>
      <w:r w:rsidR="00EA544F" w:rsidRPr="00864420">
        <w:rPr>
          <w:rFonts w:ascii="Courier New" w:hAnsi="Courier New" w:cs="Courier New"/>
          <w:b/>
        </w:rPr>
        <w:tab/>
      </w:r>
      <w:r w:rsidR="004F66C7">
        <w:rPr>
          <w:rFonts w:ascii="Courier New" w:hAnsi="Courier New" w:cs="Courier New"/>
          <w:b/>
          <w:u w:val="single"/>
        </w:rPr>
        <w:t xml:space="preserve">PCA </w:t>
      </w:r>
      <w:r w:rsidR="00A01DDD">
        <w:rPr>
          <w:rFonts w:ascii="Courier New" w:hAnsi="Courier New" w:cs="Courier New"/>
          <w:b/>
          <w:u w:val="single"/>
        </w:rPr>
        <w:t>F</w:t>
      </w:r>
      <w:r w:rsidR="004F66C7">
        <w:rPr>
          <w:rFonts w:ascii="Courier New" w:hAnsi="Courier New" w:cs="Courier New"/>
          <w:b/>
          <w:u w:val="single"/>
        </w:rPr>
        <w:t>orecast</w:t>
      </w:r>
      <w:r w:rsidR="00EA544F" w:rsidRPr="00864420">
        <w:rPr>
          <w:rFonts w:ascii="Courier New" w:hAnsi="Courier New" w:cs="Courier New"/>
          <w:b/>
        </w:rPr>
        <w:t>.</w:t>
      </w:r>
    </w:p>
    <w:p w14:paraId="052096D1" w14:textId="77777777" w:rsidR="005A54A1" w:rsidRDefault="005A54A1" w:rsidP="005A54A1">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Q.</w:t>
      </w:r>
      <w:r>
        <w:rPr>
          <w:rFonts w:ascii="Courier New" w:hAnsi="Courier New" w:cs="Courier New"/>
        </w:rPr>
        <w:tab/>
        <w:t>How is the PCA forecast amount determined?</w:t>
      </w:r>
    </w:p>
    <w:p w14:paraId="4E46935C" w14:textId="77777777" w:rsidR="005A54A1" w:rsidRDefault="005A54A1" w:rsidP="005A54A1">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A.</w:t>
      </w:r>
      <w:r>
        <w:rPr>
          <w:rFonts w:ascii="Courier New" w:hAnsi="Courier New" w:cs="Courier New"/>
        </w:rPr>
        <w:tab/>
        <w:t>As described previously, t</w:t>
      </w:r>
      <w:r w:rsidRPr="00864420">
        <w:rPr>
          <w:rFonts w:ascii="Courier New" w:hAnsi="Courier New" w:cs="Courier New"/>
        </w:rPr>
        <w:t>he</w:t>
      </w:r>
      <w:r>
        <w:rPr>
          <w:rFonts w:ascii="Courier New" w:hAnsi="Courier New" w:cs="Courier New"/>
        </w:rPr>
        <w:t xml:space="preserve"> PCA</w:t>
      </w:r>
      <w:r w:rsidRPr="00864420">
        <w:rPr>
          <w:rFonts w:ascii="Courier New" w:hAnsi="Courier New" w:cs="Courier New"/>
        </w:rPr>
        <w:t xml:space="preserve"> forecast component represents the difference between the </w:t>
      </w:r>
      <w:r w:rsidRPr="00E8029E">
        <w:rPr>
          <w:rFonts w:ascii="Courier New" w:hAnsi="Courier New" w:cs="Courier New"/>
        </w:rPr>
        <w:t xml:space="preserve">Company’s </w:t>
      </w:r>
      <w:r>
        <w:rPr>
          <w:rFonts w:ascii="Courier New" w:hAnsi="Courier New" w:cs="Courier New"/>
        </w:rPr>
        <w:t xml:space="preserve">forecast of NPSE for the upcoming April – March test year </w:t>
      </w:r>
      <w:r w:rsidRPr="00864420">
        <w:rPr>
          <w:rFonts w:ascii="Courier New" w:hAnsi="Courier New" w:cs="Courier New"/>
        </w:rPr>
        <w:t xml:space="preserve">and base level NPSE recovered in the Company’s base rates. </w:t>
      </w:r>
      <w:r>
        <w:rPr>
          <w:rFonts w:ascii="Courier New" w:hAnsi="Courier New" w:cs="Courier New"/>
        </w:rPr>
        <w:t xml:space="preserve"> </w:t>
      </w:r>
    </w:p>
    <w:p w14:paraId="04901C8C" w14:textId="77777777" w:rsidR="005A54A1" w:rsidRPr="00984E60" w:rsidRDefault="005A54A1" w:rsidP="005A54A1">
      <w:pPr>
        <w:pStyle w:val="Testimony"/>
        <w:widowControl/>
        <w:tabs>
          <w:tab w:val="clear" w:pos="2160"/>
          <w:tab w:val="left" w:pos="1980"/>
        </w:tabs>
        <w:spacing w:line="456" w:lineRule="auto"/>
        <w:rPr>
          <w:rFonts w:ascii="Courier New" w:hAnsi="Courier New" w:cs="Courier New"/>
        </w:rPr>
      </w:pPr>
      <w:r w:rsidRPr="00984E60">
        <w:rPr>
          <w:rFonts w:ascii="Courier New" w:hAnsi="Courier New" w:cs="Courier New"/>
        </w:rPr>
        <w:t>Q.</w:t>
      </w:r>
      <w:r w:rsidRPr="00984E60">
        <w:rPr>
          <w:rFonts w:ascii="Courier New" w:hAnsi="Courier New" w:cs="Courier New"/>
        </w:rPr>
        <w:tab/>
        <w:t>What is the Company’s determination of the system-level difference between currently approved base</w:t>
      </w:r>
    </w:p>
    <w:p w14:paraId="27A3DE75" w14:textId="596EC9D8" w:rsidR="005A54A1" w:rsidRPr="00984E60" w:rsidRDefault="005A54A1" w:rsidP="005A54A1">
      <w:pPr>
        <w:pStyle w:val="Testimony"/>
        <w:widowControl/>
        <w:tabs>
          <w:tab w:val="clear" w:pos="2160"/>
          <w:tab w:val="left" w:pos="1980"/>
        </w:tabs>
        <w:spacing w:line="456" w:lineRule="auto"/>
        <w:ind w:firstLine="0"/>
        <w:rPr>
          <w:rFonts w:ascii="Courier New" w:hAnsi="Courier New" w:cs="Courier New"/>
        </w:rPr>
      </w:pPr>
      <w:r w:rsidRPr="00984E60">
        <w:rPr>
          <w:rFonts w:ascii="Courier New" w:hAnsi="Courier New" w:cs="Courier New"/>
        </w:rPr>
        <w:t>level NPSE</w:t>
      </w:r>
      <w:r w:rsidRPr="00984E60">
        <w:rPr>
          <w:rStyle w:val="FootnoteReference"/>
          <w:rFonts w:ascii="Courier New" w:hAnsi="Courier New" w:cs="Courier New"/>
        </w:rPr>
        <w:footnoteReference w:id="1"/>
      </w:r>
      <w:r w:rsidRPr="00984E60">
        <w:rPr>
          <w:rFonts w:ascii="Courier New" w:hAnsi="Courier New" w:cs="Courier New"/>
        </w:rPr>
        <w:t xml:space="preserve"> and the forecast of NPSE for the </w:t>
      </w:r>
      <w:r w:rsidR="00202300">
        <w:rPr>
          <w:rFonts w:ascii="Courier New" w:hAnsi="Courier New" w:cs="Courier New"/>
        </w:rPr>
        <w:t>2023</w:t>
      </w:r>
      <w:r w:rsidRPr="00984E60">
        <w:rPr>
          <w:rFonts w:ascii="Courier New" w:hAnsi="Courier New" w:cs="Courier New"/>
        </w:rPr>
        <w:t>-</w:t>
      </w:r>
      <w:r w:rsidR="00202300">
        <w:rPr>
          <w:rFonts w:ascii="Courier New" w:hAnsi="Courier New" w:cs="Courier New"/>
        </w:rPr>
        <w:t>2024</w:t>
      </w:r>
      <w:r w:rsidRPr="00984E60">
        <w:rPr>
          <w:rFonts w:ascii="Courier New" w:hAnsi="Courier New" w:cs="Courier New"/>
        </w:rPr>
        <w:t xml:space="preserve"> PCA Year?</w:t>
      </w:r>
    </w:p>
    <w:p w14:paraId="7368E28E" w14:textId="7AD7D4B4" w:rsidR="00D83B52" w:rsidRDefault="0077660D" w:rsidP="00D83B52">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A.</w:t>
      </w:r>
      <w:r>
        <w:rPr>
          <w:rFonts w:ascii="Courier New" w:hAnsi="Courier New" w:cs="Courier New"/>
        </w:rPr>
        <w:tab/>
      </w:r>
      <w:r w:rsidR="005A54A1" w:rsidRPr="00984E60">
        <w:rPr>
          <w:rFonts w:ascii="Courier New" w:hAnsi="Courier New" w:cs="Courier New"/>
        </w:rPr>
        <w:t xml:space="preserve">The system-level forecast of NPSE for the </w:t>
      </w:r>
      <w:r w:rsidR="00202300">
        <w:rPr>
          <w:rFonts w:ascii="Courier New" w:hAnsi="Courier New" w:cs="Courier New"/>
        </w:rPr>
        <w:t>2023</w:t>
      </w:r>
      <w:r w:rsidR="005A54A1" w:rsidRPr="00984E60">
        <w:rPr>
          <w:rFonts w:ascii="Courier New" w:hAnsi="Courier New" w:cs="Courier New"/>
        </w:rPr>
        <w:t>-</w:t>
      </w:r>
      <w:r w:rsidR="00202300">
        <w:rPr>
          <w:rFonts w:ascii="Courier New" w:hAnsi="Courier New" w:cs="Courier New"/>
        </w:rPr>
        <w:t>2024</w:t>
      </w:r>
      <w:r>
        <w:rPr>
          <w:rFonts w:ascii="Courier New" w:hAnsi="Courier New" w:cs="Courier New"/>
        </w:rPr>
        <w:t xml:space="preserve"> </w:t>
      </w:r>
      <w:r w:rsidR="005A54A1" w:rsidRPr="00984E60">
        <w:rPr>
          <w:rFonts w:ascii="Courier New" w:hAnsi="Courier New" w:cs="Courier New"/>
        </w:rPr>
        <w:t>PCA Year is $</w:t>
      </w:r>
      <w:r w:rsidR="00772C19" w:rsidRPr="00772C19">
        <w:rPr>
          <w:rFonts w:ascii="Courier New" w:hAnsi="Courier New" w:cs="Courier New"/>
        </w:rPr>
        <w:t>5</w:t>
      </w:r>
      <w:r w:rsidR="00D83B52">
        <w:rPr>
          <w:rFonts w:ascii="Courier New" w:hAnsi="Courier New" w:cs="Courier New"/>
        </w:rPr>
        <w:t>41</w:t>
      </w:r>
      <w:r w:rsidR="00772C19" w:rsidRPr="00772C19">
        <w:rPr>
          <w:rFonts w:ascii="Courier New" w:hAnsi="Courier New" w:cs="Courier New"/>
        </w:rPr>
        <w:t>,</w:t>
      </w:r>
      <w:r w:rsidR="00D83B52">
        <w:rPr>
          <w:rFonts w:ascii="Courier New" w:hAnsi="Courier New" w:cs="Courier New"/>
        </w:rPr>
        <w:t>49</w:t>
      </w:r>
      <w:r w:rsidR="000A5DF7">
        <w:rPr>
          <w:rFonts w:ascii="Courier New" w:hAnsi="Courier New" w:cs="Courier New"/>
        </w:rPr>
        <w:t>9</w:t>
      </w:r>
      <w:r w:rsidR="00772C19" w:rsidRPr="00772C19">
        <w:rPr>
          <w:rFonts w:ascii="Courier New" w:hAnsi="Courier New" w:cs="Courier New"/>
        </w:rPr>
        <w:t>,</w:t>
      </w:r>
      <w:r w:rsidR="000A5DF7">
        <w:rPr>
          <w:rFonts w:ascii="Courier New" w:hAnsi="Courier New" w:cs="Courier New"/>
        </w:rPr>
        <w:t>384</w:t>
      </w:r>
      <w:r w:rsidR="005A54A1" w:rsidRPr="00984E60">
        <w:rPr>
          <w:rFonts w:ascii="Courier New" w:hAnsi="Courier New" w:cs="Courier New"/>
        </w:rPr>
        <w:t>, which is $</w:t>
      </w:r>
      <w:r w:rsidR="00772C19" w:rsidRPr="00772C19">
        <w:rPr>
          <w:rFonts w:ascii="Courier New" w:hAnsi="Courier New" w:cs="Courier New"/>
        </w:rPr>
        <w:t>2</w:t>
      </w:r>
      <w:r w:rsidR="00D83B52">
        <w:rPr>
          <w:rFonts w:ascii="Courier New" w:hAnsi="Courier New" w:cs="Courier New"/>
        </w:rPr>
        <w:t>35</w:t>
      </w:r>
      <w:r w:rsidR="00772C19" w:rsidRPr="00772C19">
        <w:rPr>
          <w:rFonts w:ascii="Courier New" w:hAnsi="Courier New" w:cs="Courier New"/>
        </w:rPr>
        <w:t>,</w:t>
      </w:r>
      <w:r w:rsidR="00D83B52">
        <w:rPr>
          <w:rFonts w:ascii="Courier New" w:hAnsi="Courier New" w:cs="Courier New"/>
        </w:rPr>
        <w:t>8</w:t>
      </w:r>
      <w:r w:rsidR="000A5DF7">
        <w:rPr>
          <w:rFonts w:ascii="Courier New" w:hAnsi="Courier New" w:cs="Courier New"/>
        </w:rPr>
        <w:t>14</w:t>
      </w:r>
      <w:r w:rsidR="00772C19" w:rsidRPr="00772C19">
        <w:rPr>
          <w:rFonts w:ascii="Courier New" w:hAnsi="Courier New" w:cs="Courier New"/>
        </w:rPr>
        <w:t>,</w:t>
      </w:r>
      <w:r w:rsidR="000A5DF7">
        <w:rPr>
          <w:rFonts w:ascii="Courier New" w:hAnsi="Courier New" w:cs="Courier New"/>
        </w:rPr>
        <w:t>515</w:t>
      </w:r>
      <w:r w:rsidR="00772C19" w:rsidRPr="00772C19">
        <w:rPr>
          <w:rFonts w:ascii="Courier New" w:hAnsi="Courier New" w:cs="Courier New"/>
        </w:rPr>
        <w:t xml:space="preserve"> </w:t>
      </w:r>
      <w:r w:rsidR="005A54A1" w:rsidRPr="00984E60">
        <w:rPr>
          <w:rFonts w:ascii="Courier New" w:hAnsi="Courier New" w:cs="Courier New"/>
        </w:rPr>
        <w:t xml:space="preserve">higher than the currently approved base level NPSE of $305,684,869.  Table </w:t>
      </w:r>
      <w:r w:rsidR="003537DC">
        <w:rPr>
          <w:rFonts w:ascii="Courier New" w:hAnsi="Courier New" w:cs="Courier New"/>
        </w:rPr>
        <w:t>2</w:t>
      </w:r>
      <w:r w:rsidR="005A54A1" w:rsidRPr="00984E60">
        <w:rPr>
          <w:rFonts w:ascii="Courier New" w:hAnsi="Courier New" w:cs="Courier New"/>
        </w:rPr>
        <w:t xml:space="preserve"> presents the system-level differences between currently approved base level NPSE and the forecast of NPSE for the </w:t>
      </w:r>
      <w:r w:rsidR="00202300">
        <w:rPr>
          <w:rFonts w:ascii="Courier New" w:hAnsi="Courier New" w:cs="Courier New"/>
        </w:rPr>
        <w:t>2023</w:t>
      </w:r>
      <w:r w:rsidR="005A54A1" w:rsidRPr="00984E60">
        <w:rPr>
          <w:rFonts w:ascii="Courier New" w:hAnsi="Courier New" w:cs="Courier New"/>
        </w:rPr>
        <w:t>-</w:t>
      </w:r>
      <w:r w:rsidR="00202300">
        <w:rPr>
          <w:rFonts w:ascii="Courier New" w:hAnsi="Courier New" w:cs="Courier New"/>
        </w:rPr>
        <w:t>2024</w:t>
      </w:r>
      <w:r w:rsidR="005A54A1" w:rsidRPr="00984E60">
        <w:rPr>
          <w:rFonts w:ascii="Courier New" w:hAnsi="Courier New" w:cs="Courier New"/>
        </w:rPr>
        <w:t xml:space="preserve"> PCA Year by FERC account.</w:t>
      </w:r>
    </w:p>
    <w:p w14:paraId="4D0EF03E" w14:textId="77777777" w:rsidR="00CC6003" w:rsidRPr="00D76421" w:rsidRDefault="00CC6003" w:rsidP="00D83B52">
      <w:pPr>
        <w:pStyle w:val="Testimony"/>
        <w:widowControl/>
        <w:tabs>
          <w:tab w:val="clear" w:pos="2160"/>
          <w:tab w:val="left" w:pos="1980"/>
        </w:tabs>
        <w:spacing w:line="456" w:lineRule="auto"/>
        <w:rPr>
          <w:rFonts w:ascii="Courier New" w:hAnsi="Courier New" w:cs="Courier New"/>
        </w:rPr>
      </w:pPr>
    </w:p>
    <w:tbl>
      <w:tblPr>
        <w:tblW w:w="9715" w:type="dxa"/>
        <w:jc w:val="center"/>
        <w:tblLook w:val="04A0" w:firstRow="1" w:lastRow="0" w:firstColumn="1" w:lastColumn="0" w:noHBand="0" w:noVBand="1"/>
      </w:tblPr>
      <w:tblGrid>
        <w:gridCol w:w="840"/>
        <w:gridCol w:w="3565"/>
        <w:gridCol w:w="1710"/>
        <w:gridCol w:w="1620"/>
        <w:gridCol w:w="1980"/>
      </w:tblGrid>
      <w:tr w:rsidR="00011C43" w:rsidRPr="001B7135" w14:paraId="2A2B0364" w14:textId="77777777" w:rsidTr="009E78F7">
        <w:trPr>
          <w:trHeight w:val="30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C8324" w14:textId="77777777" w:rsidR="00011C43" w:rsidRPr="001B7135" w:rsidRDefault="00011C43" w:rsidP="00011C43">
            <w:pPr>
              <w:rPr>
                <w:rFonts w:ascii="Calibri" w:hAnsi="Calibri" w:cs="Calibri"/>
                <w:b/>
                <w:bCs/>
                <w:color w:val="000000"/>
                <w:sz w:val="18"/>
                <w:szCs w:val="18"/>
              </w:rPr>
            </w:pPr>
            <w:r w:rsidRPr="001B7135">
              <w:rPr>
                <w:rFonts w:ascii="Calibri" w:hAnsi="Calibri" w:cs="Calibri"/>
                <w:b/>
                <w:bCs/>
                <w:color w:val="000000"/>
                <w:sz w:val="18"/>
                <w:szCs w:val="18"/>
              </w:rPr>
              <w:lastRenderedPageBreak/>
              <w:t>Table 2</w:t>
            </w:r>
          </w:p>
        </w:tc>
        <w:tc>
          <w:tcPr>
            <w:tcW w:w="8875"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C1FC73B" w14:textId="19444B31" w:rsidR="00011C43" w:rsidRPr="001B7135" w:rsidRDefault="00202300" w:rsidP="00011C43">
            <w:pPr>
              <w:jc w:val="center"/>
              <w:rPr>
                <w:rFonts w:ascii="Calibri" w:hAnsi="Calibri" w:cs="Calibri"/>
                <w:b/>
                <w:bCs/>
                <w:color w:val="000000"/>
                <w:sz w:val="18"/>
                <w:szCs w:val="18"/>
              </w:rPr>
            </w:pPr>
            <w:r w:rsidRPr="001B7135">
              <w:rPr>
                <w:rFonts w:ascii="Calibri" w:hAnsi="Calibri" w:cs="Calibri"/>
                <w:b/>
                <w:bCs/>
                <w:color w:val="000000"/>
                <w:sz w:val="18"/>
                <w:szCs w:val="18"/>
              </w:rPr>
              <w:t>2023</w:t>
            </w:r>
            <w:r w:rsidR="00011C43" w:rsidRPr="001B7135">
              <w:rPr>
                <w:rFonts w:ascii="Calibri" w:hAnsi="Calibri" w:cs="Calibri"/>
                <w:b/>
                <w:bCs/>
                <w:color w:val="000000"/>
                <w:sz w:val="18"/>
                <w:szCs w:val="18"/>
              </w:rPr>
              <w:t xml:space="preserve"> - </w:t>
            </w:r>
            <w:r w:rsidRPr="001B7135">
              <w:rPr>
                <w:rFonts w:ascii="Calibri" w:hAnsi="Calibri" w:cs="Calibri"/>
                <w:b/>
                <w:bCs/>
                <w:color w:val="000000"/>
                <w:sz w:val="18"/>
                <w:szCs w:val="18"/>
              </w:rPr>
              <w:t>2024</w:t>
            </w:r>
            <w:r w:rsidR="00011C43" w:rsidRPr="001B7135">
              <w:rPr>
                <w:rFonts w:ascii="Calibri" w:hAnsi="Calibri" w:cs="Calibri"/>
                <w:b/>
                <w:bCs/>
                <w:color w:val="000000"/>
                <w:sz w:val="18"/>
                <w:szCs w:val="18"/>
              </w:rPr>
              <w:t xml:space="preserve"> PCA </w:t>
            </w:r>
            <w:r w:rsidR="00D83B52" w:rsidRPr="001B7135">
              <w:rPr>
                <w:rFonts w:ascii="Calibri" w:hAnsi="Calibri" w:cs="Calibri"/>
                <w:b/>
                <w:bCs/>
                <w:color w:val="000000"/>
                <w:sz w:val="18"/>
                <w:szCs w:val="18"/>
              </w:rPr>
              <w:t>FORECAST (</w:t>
            </w:r>
            <w:r w:rsidR="00011C43" w:rsidRPr="001B7135">
              <w:rPr>
                <w:rFonts w:ascii="Calibri" w:hAnsi="Calibri" w:cs="Calibri"/>
                <w:b/>
                <w:bCs/>
                <w:color w:val="000000"/>
                <w:sz w:val="18"/>
                <w:szCs w:val="18"/>
              </w:rPr>
              <w:t>Total System)</w:t>
            </w:r>
          </w:p>
        </w:tc>
      </w:tr>
      <w:tr w:rsidR="00011C43" w:rsidRPr="001B7135" w14:paraId="3C0FD9C1" w14:textId="77777777" w:rsidTr="00655B68">
        <w:trPr>
          <w:trHeight w:val="300"/>
          <w:jc w:val="center"/>
        </w:trPr>
        <w:tc>
          <w:tcPr>
            <w:tcW w:w="840" w:type="dxa"/>
            <w:tcBorders>
              <w:top w:val="nil"/>
              <w:left w:val="single" w:sz="4" w:space="0" w:color="auto"/>
              <w:bottom w:val="nil"/>
              <w:right w:val="single" w:sz="4" w:space="0" w:color="auto"/>
            </w:tcBorders>
            <w:shd w:val="clear" w:color="auto" w:fill="auto"/>
            <w:noWrap/>
            <w:vAlign w:val="bottom"/>
            <w:hideMark/>
          </w:tcPr>
          <w:p w14:paraId="4F2DEED1" w14:textId="77777777" w:rsidR="00011C43" w:rsidRPr="001B7135" w:rsidRDefault="00011C43" w:rsidP="00011C43">
            <w:pPr>
              <w:rPr>
                <w:rFonts w:ascii="Calibri" w:hAnsi="Calibri" w:cs="Calibri"/>
                <w:color w:val="000000"/>
                <w:sz w:val="18"/>
                <w:szCs w:val="18"/>
              </w:rPr>
            </w:pPr>
            <w:r w:rsidRPr="001B7135">
              <w:rPr>
                <w:rFonts w:ascii="Calibri" w:hAnsi="Calibri" w:cs="Calibri"/>
                <w:color w:val="000000"/>
                <w:sz w:val="18"/>
                <w:szCs w:val="18"/>
              </w:rPr>
              <w:t> </w:t>
            </w:r>
          </w:p>
        </w:tc>
        <w:tc>
          <w:tcPr>
            <w:tcW w:w="3565" w:type="dxa"/>
            <w:tcBorders>
              <w:top w:val="nil"/>
              <w:left w:val="nil"/>
              <w:bottom w:val="nil"/>
              <w:right w:val="nil"/>
            </w:tcBorders>
            <w:shd w:val="clear" w:color="auto" w:fill="auto"/>
            <w:noWrap/>
            <w:vAlign w:val="bottom"/>
            <w:hideMark/>
          </w:tcPr>
          <w:p w14:paraId="302F9973" w14:textId="77777777" w:rsidR="00011C43" w:rsidRPr="001B7135" w:rsidRDefault="00011C43" w:rsidP="00011C43">
            <w:pPr>
              <w:rPr>
                <w:rFonts w:ascii="Calibri" w:hAnsi="Calibri" w:cs="Calibri"/>
                <w:color w:val="000000"/>
                <w:sz w:val="18"/>
                <w:szCs w:val="18"/>
              </w:rPr>
            </w:pPr>
            <w:r w:rsidRPr="001B7135">
              <w:rPr>
                <w:rFonts w:ascii="Calibri" w:hAnsi="Calibri" w:cs="Calibri"/>
                <w:color w:val="000000"/>
                <w:sz w:val="18"/>
                <w:szCs w:val="18"/>
              </w:rPr>
              <w:t> </w:t>
            </w:r>
          </w:p>
        </w:tc>
        <w:tc>
          <w:tcPr>
            <w:tcW w:w="1710" w:type="dxa"/>
            <w:tcBorders>
              <w:top w:val="nil"/>
              <w:left w:val="nil"/>
              <w:bottom w:val="nil"/>
              <w:right w:val="nil"/>
            </w:tcBorders>
            <w:shd w:val="clear" w:color="auto" w:fill="auto"/>
            <w:noWrap/>
            <w:vAlign w:val="bottom"/>
            <w:hideMark/>
          </w:tcPr>
          <w:p w14:paraId="2D1E9C3B" w14:textId="77777777" w:rsidR="00011C43" w:rsidRPr="001B7135" w:rsidRDefault="00011C43" w:rsidP="00011C43">
            <w:pPr>
              <w:rPr>
                <w:rFonts w:ascii="Calibri" w:hAnsi="Calibri" w:cs="Calibri"/>
                <w:color w:val="000000"/>
                <w:sz w:val="18"/>
                <w:szCs w:val="18"/>
              </w:rPr>
            </w:pPr>
          </w:p>
        </w:tc>
        <w:tc>
          <w:tcPr>
            <w:tcW w:w="1620" w:type="dxa"/>
            <w:tcBorders>
              <w:top w:val="nil"/>
              <w:left w:val="nil"/>
              <w:bottom w:val="nil"/>
              <w:right w:val="nil"/>
            </w:tcBorders>
            <w:shd w:val="clear" w:color="auto" w:fill="auto"/>
            <w:noWrap/>
            <w:vAlign w:val="bottom"/>
            <w:hideMark/>
          </w:tcPr>
          <w:p w14:paraId="0A5C59E8" w14:textId="77777777" w:rsidR="00011C43" w:rsidRPr="001B7135" w:rsidRDefault="00011C43" w:rsidP="00011C43">
            <w:pPr>
              <w:rPr>
                <w:rFonts w:ascii="Times New Roman" w:hAnsi="Times New Roman"/>
                <w:sz w:val="18"/>
                <w:szCs w:val="18"/>
              </w:rPr>
            </w:pPr>
          </w:p>
        </w:tc>
        <w:tc>
          <w:tcPr>
            <w:tcW w:w="1980" w:type="dxa"/>
            <w:tcBorders>
              <w:top w:val="nil"/>
              <w:left w:val="nil"/>
              <w:bottom w:val="nil"/>
              <w:right w:val="single" w:sz="4" w:space="0" w:color="auto"/>
            </w:tcBorders>
            <w:shd w:val="clear" w:color="auto" w:fill="auto"/>
            <w:noWrap/>
            <w:vAlign w:val="bottom"/>
            <w:hideMark/>
          </w:tcPr>
          <w:p w14:paraId="13F1BDED" w14:textId="77777777" w:rsidR="00011C43" w:rsidRPr="001B7135" w:rsidRDefault="00011C43" w:rsidP="00011C43">
            <w:pPr>
              <w:rPr>
                <w:rFonts w:ascii="Calibri" w:hAnsi="Calibri" w:cs="Calibri"/>
                <w:color w:val="000000"/>
                <w:sz w:val="18"/>
                <w:szCs w:val="18"/>
              </w:rPr>
            </w:pPr>
            <w:r w:rsidRPr="001B7135">
              <w:rPr>
                <w:rFonts w:ascii="Calibri" w:hAnsi="Calibri" w:cs="Calibri"/>
                <w:color w:val="000000"/>
                <w:sz w:val="18"/>
                <w:szCs w:val="18"/>
              </w:rPr>
              <w:t> </w:t>
            </w:r>
          </w:p>
        </w:tc>
      </w:tr>
      <w:tr w:rsidR="00011C43" w:rsidRPr="001B7135" w14:paraId="6E1C826F" w14:textId="77777777" w:rsidTr="00655B68">
        <w:trPr>
          <w:trHeight w:val="600"/>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4721A4D8" w14:textId="77777777" w:rsidR="00011C43" w:rsidRPr="001B7135" w:rsidRDefault="00011C43" w:rsidP="00011C43">
            <w:pPr>
              <w:rPr>
                <w:rFonts w:ascii="Calibri" w:hAnsi="Calibri" w:cs="Calibri"/>
                <w:b/>
                <w:bCs/>
                <w:color w:val="000000"/>
                <w:sz w:val="18"/>
                <w:szCs w:val="18"/>
              </w:rPr>
            </w:pPr>
            <w:r w:rsidRPr="001B7135">
              <w:rPr>
                <w:rFonts w:ascii="Calibri" w:hAnsi="Calibri" w:cs="Calibri"/>
                <w:b/>
                <w:bCs/>
                <w:color w:val="000000"/>
                <w:sz w:val="18"/>
                <w:szCs w:val="18"/>
              </w:rPr>
              <w:t>Line No.</w:t>
            </w:r>
          </w:p>
        </w:tc>
        <w:tc>
          <w:tcPr>
            <w:tcW w:w="3565" w:type="dxa"/>
            <w:tcBorders>
              <w:top w:val="nil"/>
              <w:left w:val="nil"/>
              <w:bottom w:val="single" w:sz="4" w:space="0" w:color="auto"/>
              <w:right w:val="nil"/>
            </w:tcBorders>
            <w:shd w:val="clear" w:color="auto" w:fill="auto"/>
            <w:noWrap/>
            <w:vAlign w:val="bottom"/>
            <w:hideMark/>
          </w:tcPr>
          <w:p w14:paraId="70BDC33D" w14:textId="77777777" w:rsidR="00011C43" w:rsidRPr="001B7135" w:rsidRDefault="00011C43" w:rsidP="00011C43">
            <w:pPr>
              <w:jc w:val="center"/>
              <w:rPr>
                <w:rFonts w:ascii="Calibri" w:hAnsi="Calibri" w:cs="Calibri"/>
                <w:b/>
                <w:bCs/>
                <w:color w:val="000000"/>
                <w:sz w:val="18"/>
                <w:szCs w:val="18"/>
              </w:rPr>
            </w:pPr>
            <w:r w:rsidRPr="001B7135">
              <w:rPr>
                <w:rFonts w:ascii="Calibri" w:hAnsi="Calibri" w:cs="Calibri"/>
                <w:b/>
                <w:bCs/>
                <w:color w:val="000000"/>
                <w:sz w:val="18"/>
                <w:szCs w:val="18"/>
              </w:rPr>
              <w:t>FERC Account</w:t>
            </w:r>
          </w:p>
        </w:tc>
        <w:tc>
          <w:tcPr>
            <w:tcW w:w="1710" w:type="dxa"/>
            <w:tcBorders>
              <w:top w:val="nil"/>
              <w:left w:val="nil"/>
              <w:bottom w:val="single" w:sz="4" w:space="0" w:color="auto"/>
              <w:right w:val="nil"/>
            </w:tcBorders>
            <w:shd w:val="clear" w:color="auto" w:fill="auto"/>
            <w:noWrap/>
            <w:vAlign w:val="bottom"/>
            <w:hideMark/>
          </w:tcPr>
          <w:p w14:paraId="3AF7F405" w14:textId="77777777" w:rsidR="00011C43" w:rsidRPr="001B7135" w:rsidRDefault="00011C43" w:rsidP="00011C43">
            <w:pPr>
              <w:jc w:val="center"/>
              <w:rPr>
                <w:rFonts w:ascii="Calibri" w:hAnsi="Calibri" w:cs="Calibri"/>
                <w:b/>
                <w:bCs/>
                <w:color w:val="000000"/>
                <w:sz w:val="18"/>
                <w:szCs w:val="18"/>
              </w:rPr>
            </w:pPr>
            <w:r w:rsidRPr="001B7135">
              <w:rPr>
                <w:rFonts w:ascii="Calibri" w:hAnsi="Calibri" w:cs="Calibri"/>
                <w:b/>
                <w:bCs/>
                <w:color w:val="000000"/>
                <w:sz w:val="18"/>
                <w:szCs w:val="18"/>
              </w:rPr>
              <w:t>Base NPSE</w:t>
            </w:r>
          </w:p>
        </w:tc>
        <w:tc>
          <w:tcPr>
            <w:tcW w:w="1620" w:type="dxa"/>
            <w:tcBorders>
              <w:top w:val="nil"/>
              <w:left w:val="nil"/>
              <w:bottom w:val="single" w:sz="4" w:space="0" w:color="auto"/>
              <w:right w:val="nil"/>
            </w:tcBorders>
            <w:shd w:val="clear" w:color="auto" w:fill="auto"/>
            <w:noWrap/>
            <w:vAlign w:val="bottom"/>
            <w:hideMark/>
          </w:tcPr>
          <w:p w14:paraId="55593D34" w14:textId="77777777" w:rsidR="00011C43" w:rsidRPr="001B7135" w:rsidRDefault="00011C43" w:rsidP="00011C43">
            <w:pPr>
              <w:jc w:val="center"/>
              <w:rPr>
                <w:rFonts w:ascii="Calibri" w:hAnsi="Calibri" w:cs="Calibri"/>
                <w:b/>
                <w:bCs/>
                <w:color w:val="000000"/>
                <w:sz w:val="18"/>
                <w:szCs w:val="18"/>
              </w:rPr>
            </w:pPr>
            <w:r w:rsidRPr="001B7135">
              <w:rPr>
                <w:rFonts w:ascii="Calibri" w:hAnsi="Calibri" w:cs="Calibri"/>
                <w:b/>
                <w:bCs/>
                <w:color w:val="000000"/>
                <w:sz w:val="18"/>
                <w:szCs w:val="18"/>
              </w:rPr>
              <w:t>Forecast</w:t>
            </w:r>
          </w:p>
        </w:tc>
        <w:tc>
          <w:tcPr>
            <w:tcW w:w="1980" w:type="dxa"/>
            <w:tcBorders>
              <w:top w:val="nil"/>
              <w:left w:val="nil"/>
              <w:bottom w:val="single" w:sz="4" w:space="0" w:color="auto"/>
              <w:right w:val="single" w:sz="4" w:space="0" w:color="auto"/>
            </w:tcBorders>
            <w:shd w:val="clear" w:color="auto" w:fill="auto"/>
            <w:noWrap/>
            <w:vAlign w:val="bottom"/>
            <w:hideMark/>
          </w:tcPr>
          <w:p w14:paraId="5B8DE87A" w14:textId="77777777" w:rsidR="00011C43" w:rsidRPr="001B7135" w:rsidRDefault="00011C43" w:rsidP="00011C43">
            <w:pPr>
              <w:jc w:val="center"/>
              <w:rPr>
                <w:rFonts w:ascii="Calibri" w:hAnsi="Calibri" w:cs="Calibri"/>
                <w:b/>
                <w:bCs/>
                <w:color w:val="000000"/>
                <w:sz w:val="18"/>
                <w:szCs w:val="18"/>
              </w:rPr>
            </w:pPr>
            <w:r w:rsidRPr="001B7135">
              <w:rPr>
                <w:rFonts w:ascii="Calibri" w:hAnsi="Calibri" w:cs="Calibri"/>
                <w:b/>
                <w:bCs/>
                <w:color w:val="000000"/>
                <w:sz w:val="18"/>
                <w:szCs w:val="18"/>
              </w:rPr>
              <w:t>Difference</w:t>
            </w:r>
          </w:p>
        </w:tc>
      </w:tr>
      <w:tr w:rsidR="00011C43" w:rsidRPr="001B7135" w14:paraId="29AC9709" w14:textId="77777777" w:rsidTr="00655B68">
        <w:trPr>
          <w:trHeight w:val="300"/>
          <w:jc w:val="center"/>
        </w:trPr>
        <w:tc>
          <w:tcPr>
            <w:tcW w:w="840" w:type="dxa"/>
            <w:tcBorders>
              <w:top w:val="nil"/>
              <w:left w:val="single" w:sz="4" w:space="0" w:color="auto"/>
              <w:bottom w:val="nil"/>
              <w:right w:val="single" w:sz="4" w:space="0" w:color="auto"/>
            </w:tcBorders>
            <w:shd w:val="clear" w:color="auto" w:fill="auto"/>
            <w:noWrap/>
            <w:vAlign w:val="bottom"/>
            <w:hideMark/>
          </w:tcPr>
          <w:p w14:paraId="56C4CEAA" w14:textId="77777777" w:rsidR="00011C43" w:rsidRPr="001B7135" w:rsidRDefault="00011C43" w:rsidP="00011C43">
            <w:pPr>
              <w:rPr>
                <w:rFonts w:ascii="Calibri" w:hAnsi="Calibri" w:cs="Calibri"/>
                <w:color w:val="000000"/>
                <w:sz w:val="18"/>
                <w:szCs w:val="18"/>
              </w:rPr>
            </w:pPr>
            <w:r w:rsidRPr="001B7135">
              <w:rPr>
                <w:rFonts w:ascii="Calibri" w:hAnsi="Calibri" w:cs="Calibri"/>
                <w:color w:val="000000"/>
                <w:sz w:val="18"/>
                <w:szCs w:val="18"/>
              </w:rPr>
              <w:t> </w:t>
            </w:r>
          </w:p>
        </w:tc>
        <w:tc>
          <w:tcPr>
            <w:tcW w:w="3565" w:type="dxa"/>
            <w:tcBorders>
              <w:top w:val="nil"/>
              <w:left w:val="nil"/>
              <w:bottom w:val="nil"/>
              <w:right w:val="nil"/>
            </w:tcBorders>
            <w:shd w:val="clear" w:color="auto" w:fill="auto"/>
            <w:noWrap/>
            <w:vAlign w:val="bottom"/>
            <w:hideMark/>
          </w:tcPr>
          <w:p w14:paraId="573930CA" w14:textId="77777777" w:rsidR="00011C43" w:rsidRPr="001B7135" w:rsidRDefault="00011C43" w:rsidP="00011C43">
            <w:pPr>
              <w:rPr>
                <w:rFonts w:ascii="Calibri" w:hAnsi="Calibri" w:cs="Calibri"/>
                <w:color w:val="000000"/>
                <w:sz w:val="18"/>
                <w:szCs w:val="18"/>
                <w:u w:val="single"/>
              </w:rPr>
            </w:pPr>
            <w:r w:rsidRPr="001B7135">
              <w:rPr>
                <w:rFonts w:ascii="Calibri" w:hAnsi="Calibri" w:cs="Calibri"/>
                <w:color w:val="000000"/>
                <w:sz w:val="18"/>
                <w:szCs w:val="18"/>
                <w:u w:val="single"/>
              </w:rPr>
              <w:t>95% Sharing Accounts</w:t>
            </w:r>
          </w:p>
        </w:tc>
        <w:tc>
          <w:tcPr>
            <w:tcW w:w="1710" w:type="dxa"/>
            <w:tcBorders>
              <w:top w:val="nil"/>
              <w:left w:val="nil"/>
              <w:bottom w:val="nil"/>
              <w:right w:val="nil"/>
            </w:tcBorders>
            <w:shd w:val="clear" w:color="auto" w:fill="auto"/>
            <w:noWrap/>
            <w:vAlign w:val="bottom"/>
            <w:hideMark/>
          </w:tcPr>
          <w:p w14:paraId="481197D7" w14:textId="77777777" w:rsidR="00011C43" w:rsidRPr="001B7135" w:rsidRDefault="00011C43" w:rsidP="00011C43">
            <w:pPr>
              <w:rPr>
                <w:rFonts w:ascii="Calibri" w:hAnsi="Calibri" w:cs="Calibri"/>
                <w:color w:val="000000"/>
                <w:sz w:val="18"/>
                <w:szCs w:val="18"/>
                <w:u w:val="single"/>
              </w:rPr>
            </w:pPr>
          </w:p>
        </w:tc>
        <w:tc>
          <w:tcPr>
            <w:tcW w:w="1620" w:type="dxa"/>
            <w:tcBorders>
              <w:top w:val="nil"/>
              <w:left w:val="nil"/>
              <w:bottom w:val="nil"/>
              <w:right w:val="nil"/>
            </w:tcBorders>
            <w:shd w:val="clear" w:color="auto" w:fill="auto"/>
            <w:noWrap/>
            <w:vAlign w:val="bottom"/>
            <w:hideMark/>
          </w:tcPr>
          <w:p w14:paraId="65FAE081" w14:textId="77777777" w:rsidR="00011C43" w:rsidRPr="001B7135" w:rsidRDefault="00011C43" w:rsidP="00011C43">
            <w:pPr>
              <w:rPr>
                <w:rFonts w:ascii="Times New Roman" w:hAnsi="Times New Roman"/>
                <w:sz w:val="18"/>
                <w:szCs w:val="18"/>
              </w:rPr>
            </w:pPr>
          </w:p>
        </w:tc>
        <w:tc>
          <w:tcPr>
            <w:tcW w:w="1980" w:type="dxa"/>
            <w:tcBorders>
              <w:top w:val="nil"/>
              <w:left w:val="nil"/>
              <w:bottom w:val="nil"/>
              <w:right w:val="single" w:sz="4" w:space="0" w:color="auto"/>
            </w:tcBorders>
            <w:shd w:val="clear" w:color="auto" w:fill="auto"/>
            <w:noWrap/>
            <w:vAlign w:val="bottom"/>
            <w:hideMark/>
          </w:tcPr>
          <w:p w14:paraId="6483A70D" w14:textId="77777777" w:rsidR="00011C43" w:rsidRPr="001B7135" w:rsidRDefault="00011C43" w:rsidP="00011C43">
            <w:pPr>
              <w:rPr>
                <w:rFonts w:ascii="Calibri" w:hAnsi="Calibri" w:cs="Calibri"/>
                <w:color w:val="000000"/>
                <w:sz w:val="18"/>
                <w:szCs w:val="18"/>
              </w:rPr>
            </w:pPr>
            <w:r w:rsidRPr="001B7135">
              <w:rPr>
                <w:rFonts w:ascii="Calibri" w:hAnsi="Calibri" w:cs="Calibri"/>
                <w:color w:val="000000"/>
                <w:sz w:val="18"/>
                <w:szCs w:val="18"/>
              </w:rPr>
              <w:t> </w:t>
            </w:r>
          </w:p>
        </w:tc>
      </w:tr>
      <w:tr w:rsidR="00D83B52" w:rsidRPr="001B7135" w14:paraId="2AAAF62F" w14:textId="77777777" w:rsidTr="00D83B52">
        <w:trPr>
          <w:trHeight w:val="300"/>
          <w:jc w:val="center"/>
        </w:trPr>
        <w:tc>
          <w:tcPr>
            <w:tcW w:w="840" w:type="dxa"/>
            <w:tcBorders>
              <w:top w:val="nil"/>
              <w:left w:val="single" w:sz="4" w:space="0" w:color="auto"/>
              <w:bottom w:val="nil"/>
              <w:right w:val="single" w:sz="4" w:space="0" w:color="auto"/>
            </w:tcBorders>
            <w:shd w:val="clear" w:color="auto" w:fill="auto"/>
            <w:noWrap/>
            <w:vAlign w:val="bottom"/>
            <w:hideMark/>
          </w:tcPr>
          <w:p w14:paraId="5D2AEAAB" w14:textId="77777777" w:rsidR="00D83B52" w:rsidRPr="001B7135" w:rsidRDefault="00D83B52" w:rsidP="00D83B52">
            <w:pPr>
              <w:jc w:val="center"/>
              <w:rPr>
                <w:rFonts w:ascii="Calibri" w:hAnsi="Calibri" w:cs="Calibri"/>
                <w:color w:val="000000"/>
                <w:sz w:val="18"/>
                <w:szCs w:val="18"/>
              </w:rPr>
            </w:pPr>
            <w:r w:rsidRPr="001B7135">
              <w:rPr>
                <w:rFonts w:ascii="Calibri" w:hAnsi="Calibri" w:cs="Calibri"/>
                <w:color w:val="000000"/>
                <w:sz w:val="18"/>
                <w:szCs w:val="18"/>
              </w:rPr>
              <w:t>1</w:t>
            </w:r>
          </w:p>
        </w:tc>
        <w:tc>
          <w:tcPr>
            <w:tcW w:w="3565" w:type="dxa"/>
            <w:tcBorders>
              <w:top w:val="nil"/>
              <w:left w:val="nil"/>
              <w:bottom w:val="nil"/>
              <w:right w:val="nil"/>
            </w:tcBorders>
            <w:shd w:val="clear" w:color="auto" w:fill="auto"/>
            <w:noWrap/>
            <w:vAlign w:val="bottom"/>
            <w:hideMark/>
          </w:tcPr>
          <w:p w14:paraId="52797704" w14:textId="77777777" w:rsidR="00D83B52" w:rsidRPr="001B7135" w:rsidRDefault="00D83B52" w:rsidP="00D83B52">
            <w:pPr>
              <w:rPr>
                <w:rFonts w:ascii="Calibri" w:hAnsi="Calibri" w:cs="Calibri"/>
                <w:color w:val="000000"/>
                <w:sz w:val="18"/>
                <w:szCs w:val="18"/>
              </w:rPr>
            </w:pPr>
            <w:r w:rsidRPr="001B7135">
              <w:rPr>
                <w:rFonts w:ascii="Calibri" w:hAnsi="Calibri" w:cs="Calibri"/>
                <w:color w:val="000000"/>
                <w:sz w:val="18"/>
                <w:szCs w:val="18"/>
              </w:rPr>
              <w:t>Account 501, Coal</w:t>
            </w:r>
          </w:p>
        </w:tc>
        <w:tc>
          <w:tcPr>
            <w:tcW w:w="1710" w:type="dxa"/>
            <w:tcBorders>
              <w:top w:val="nil"/>
              <w:left w:val="nil"/>
              <w:bottom w:val="nil"/>
              <w:right w:val="nil"/>
            </w:tcBorders>
            <w:shd w:val="clear" w:color="auto" w:fill="auto"/>
            <w:noWrap/>
            <w:vAlign w:val="bottom"/>
            <w:hideMark/>
          </w:tcPr>
          <w:p w14:paraId="18D7A694" w14:textId="77777777" w:rsidR="00D83B52" w:rsidRPr="001B7135" w:rsidRDefault="00D83B52" w:rsidP="00D83B52">
            <w:pPr>
              <w:jc w:val="right"/>
              <w:rPr>
                <w:rFonts w:ascii="Calibri" w:hAnsi="Calibri" w:cs="Calibri"/>
                <w:color w:val="000000"/>
                <w:sz w:val="18"/>
                <w:szCs w:val="18"/>
              </w:rPr>
            </w:pPr>
            <w:r w:rsidRPr="001B7135">
              <w:rPr>
                <w:rFonts w:ascii="Calibri" w:hAnsi="Calibri" w:cs="Calibri"/>
                <w:color w:val="000000"/>
                <w:sz w:val="18"/>
                <w:szCs w:val="18"/>
              </w:rPr>
              <w:t xml:space="preserve"> $           108,503,180 </w:t>
            </w:r>
          </w:p>
        </w:tc>
        <w:tc>
          <w:tcPr>
            <w:tcW w:w="1620" w:type="dxa"/>
            <w:tcBorders>
              <w:top w:val="nil"/>
              <w:left w:val="nil"/>
              <w:bottom w:val="nil"/>
              <w:right w:val="nil"/>
            </w:tcBorders>
            <w:shd w:val="clear" w:color="auto" w:fill="auto"/>
            <w:noWrap/>
            <w:vAlign w:val="bottom"/>
            <w:hideMark/>
          </w:tcPr>
          <w:p w14:paraId="241E323E" w14:textId="108CB61A" w:rsidR="00D83B52" w:rsidRPr="001B7135" w:rsidRDefault="00D83B52" w:rsidP="00D83B52">
            <w:pPr>
              <w:jc w:val="right"/>
              <w:rPr>
                <w:rFonts w:ascii="Calibri" w:hAnsi="Calibri" w:cs="Calibri"/>
                <w:color w:val="000000"/>
                <w:sz w:val="18"/>
                <w:szCs w:val="18"/>
              </w:rPr>
            </w:pPr>
            <w:r w:rsidRPr="001B7135">
              <w:rPr>
                <w:rFonts w:ascii="Calibri" w:hAnsi="Calibri" w:cs="Calibri"/>
                <w:color w:val="000000"/>
                <w:sz w:val="18"/>
                <w:szCs w:val="18"/>
              </w:rPr>
              <w:t xml:space="preserve"> $     130,090,026</w:t>
            </w:r>
          </w:p>
        </w:tc>
        <w:tc>
          <w:tcPr>
            <w:tcW w:w="1980" w:type="dxa"/>
            <w:tcBorders>
              <w:top w:val="nil"/>
              <w:left w:val="nil"/>
              <w:bottom w:val="nil"/>
              <w:right w:val="single" w:sz="4" w:space="0" w:color="auto"/>
            </w:tcBorders>
            <w:shd w:val="clear" w:color="auto" w:fill="auto"/>
            <w:noWrap/>
            <w:vAlign w:val="bottom"/>
            <w:hideMark/>
          </w:tcPr>
          <w:p w14:paraId="357A2A06" w14:textId="3C6FBAFC" w:rsidR="00D83B52" w:rsidRPr="001B7135" w:rsidRDefault="00D83B52" w:rsidP="00D83B52">
            <w:pPr>
              <w:jc w:val="right"/>
              <w:rPr>
                <w:rFonts w:ascii="Calibri" w:hAnsi="Calibri" w:cs="Calibri"/>
                <w:color w:val="000000"/>
                <w:sz w:val="18"/>
                <w:szCs w:val="18"/>
              </w:rPr>
            </w:pPr>
            <w:r w:rsidRPr="001B7135">
              <w:rPr>
                <w:rFonts w:ascii="Calibri" w:hAnsi="Calibri" w:cs="Calibri"/>
                <w:color w:val="000000"/>
                <w:sz w:val="18"/>
                <w:szCs w:val="18"/>
              </w:rPr>
              <w:t xml:space="preserve"> $        21,586,845 </w:t>
            </w:r>
          </w:p>
        </w:tc>
      </w:tr>
      <w:tr w:rsidR="00D83B52" w:rsidRPr="001B7135" w14:paraId="5D410288" w14:textId="77777777" w:rsidTr="00D83B52">
        <w:trPr>
          <w:trHeight w:val="300"/>
          <w:jc w:val="center"/>
        </w:trPr>
        <w:tc>
          <w:tcPr>
            <w:tcW w:w="840" w:type="dxa"/>
            <w:tcBorders>
              <w:top w:val="nil"/>
              <w:left w:val="single" w:sz="4" w:space="0" w:color="auto"/>
              <w:bottom w:val="nil"/>
              <w:right w:val="single" w:sz="4" w:space="0" w:color="auto"/>
            </w:tcBorders>
            <w:shd w:val="clear" w:color="auto" w:fill="auto"/>
            <w:noWrap/>
            <w:vAlign w:val="bottom"/>
            <w:hideMark/>
          </w:tcPr>
          <w:p w14:paraId="7BB31FEB" w14:textId="77777777" w:rsidR="00D83B52" w:rsidRPr="001B7135" w:rsidRDefault="00D83B52" w:rsidP="00D83B52">
            <w:pPr>
              <w:jc w:val="center"/>
              <w:rPr>
                <w:rFonts w:ascii="Calibri" w:hAnsi="Calibri" w:cs="Calibri"/>
                <w:color w:val="000000"/>
                <w:sz w:val="18"/>
                <w:szCs w:val="18"/>
              </w:rPr>
            </w:pPr>
            <w:r w:rsidRPr="001B7135">
              <w:rPr>
                <w:rFonts w:ascii="Calibri" w:hAnsi="Calibri" w:cs="Calibri"/>
                <w:color w:val="000000"/>
                <w:sz w:val="18"/>
                <w:szCs w:val="18"/>
              </w:rPr>
              <w:t>2</w:t>
            </w:r>
          </w:p>
        </w:tc>
        <w:tc>
          <w:tcPr>
            <w:tcW w:w="3565" w:type="dxa"/>
            <w:tcBorders>
              <w:top w:val="nil"/>
              <w:left w:val="nil"/>
              <w:bottom w:val="nil"/>
              <w:right w:val="nil"/>
            </w:tcBorders>
            <w:shd w:val="clear" w:color="auto" w:fill="auto"/>
            <w:noWrap/>
            <w:vAlign w:val="bottom"/>
            <w:hideMark/>
          </w:tcPr>
          <w:p w14:paraId="21DC7914" w14:textId="77777777" w:rsidR="00D83B52" w:rsidRPr="001B7135" w:rsidRDefault="00D83B52" w:rsidP="00D83B52">
            <w:pPr>
              <w:rPr>
                <w:rFonts w:ascii="Calibri" w:hAnsi="Calibri" w:cs="Calibri"/>
                <w:color w:val="000000"/>
                <w:sz w:val="18"/>
                <w:szCs w:val="18"/>
              </w:rPr>
            </w:pPr>
            <w:r w:rsidRPr="001B7135">
              <w:rPr>
                <w:rFonts w:ascii="Calibri" w:hAnsi="Calibri" w:cs="Calibri"/>
                <w:color w:val="000000"/>
                <w:sz w:val="18"/>
                <w:szCs w:val="18"/>
              </w:rPr>
              <w:t>Account 536, Water for Power</w:t>
            </w:r>
          </w:p>
        </w:tc>
        <w:tc>
          <w:tcPr>
            <w:tcW w:w="1710" w:type="dxa"/>
            <w:tcBorders>
              <w:top w:val="nil"/>
              <w:left w:val="nil"/>
              <w:bottom w:val="nil"/>
              <w:right w:val="nil"/>
            </w:tcBorders>
            <w:shd w:val="clear" w:color="auto" w:fill="auto"/>
            <w:noWrap/>
            <w:vAlign w:val="bottom"/>
            <w:hideMark/>
          </w:tcPr>
          <w:p w14:paraId="221DADBD" w14:textId="77777777" w:rsidR="00D83B52" w:rsidRPr="001B7135" w:rsidRDefault="00D83B52" w:rsidP="00D83B52">
            <w:pPr>
              <w:jc w:val="right"/>
              <w:rPr>
                <w:rFonts w:ascii="Calibri" w:hAnsi="Calibri" w:cs="Calibri"/>
                <w:color w:val="000000"/>
                <w:sz w:val="18"/>
                <w:szCs w:val="18"/>
              </w:rPr>
            </w:pPr>
            <w:r w:rsidRPr="001B7135">
              <w:rPr>
                <w:rFonts w:ascii="Calibri" w:hAnsi="Calibri" w:cs="Calibri"/>
                <w:color w:val="000000"/>
                <w:sz w:val="18"/>
                <w:szCs w:val="18"/>
              </w:rPr>
              <w:t xml:space="preserve"> $               2,380,597 </w:t>
            </w:r>
          </w:p>
        </w:tc>
        <w:tc>
          <w:tcPr>
            <w:tcW w:w="1620" w:type="dxa"/>
            <w:tcBorders>
              <w:top w:val="nil"/>
              <w:left w:val="nil"/>
              <w:bottom w:val="nil"/>
              <w:right w:val="nil"/>
            </w:tcBorders>
            <w:shd w:val="clear" w:color="auto" w:fill="auto"/>
            <w:noWrap/>
            <w:vAlign w:val="bottom"/>
            <w:hideMark/>
          </w:tcPr>
          <w:p w14:paraId="679EEB59" w14:textId="77777777" w:rsidR="00D83B52" w:rsidRPr="001B7135" w:rsidRDefault="00D83B52" w:rsidP="00D83B52">
            <w:pPr>
              <w:jc w:val="right"/>
              <w:rPr>
                <w:rFonts w:ascii="Calibri" w:hAnsi="Calibri" w:cs="Calibri"/>
                <w:color w:val="000000"/>
                <w:sz w:val="18"/>
                <w:szCs w:val="18"/>
              </w:rPr>
            </w:pPr>
            <w:r w:rsidRPr="001B7135">
              <w:rPr>
                <w:rFonts w:ascii="Calibri" w:hAnsi="Calibri" w:cs="Calibri"/>
                <w:color w:val="000000"/>
                <w:sz w:val="18"/>
                <w:szCs w:val="18"/>
              </w:rPr>
              <w:t xml:space="preserve"> $                         0 </w:t>
            </w:r>
          </w:p>
        </w:tc>
        <w:tc>
          <w:tcPr>
            <w:tcW w:w="1980" w:type="dxa"/>
            <w:tcBorders>
              <w:top w:val="nil"/>
              <w:left w:val="nil"/>
              <w:bottom w:val="nil"/>
              <w:right w:val="single" w:sz="4" w:space="0" w:color="auto"/>
            </w:tcBorders>
            <w:shd w:val="clear" w:color="auto" w:fill="auto"/>
            <w:noWrap/>
            <w:vAlign w:val="bottom"/>
            <w:hideMark/>
          </w:tcPr>
          <w:p w14:paraId="56B79E4E" w14:textId="6ADED42F" w:rsidR="00D83B52" w:rsidRPr="001B7135" w:rsidRDefault="00D83B52" w:rsidP="00D83B52">
            <w:pPr>
              <w:jc w:val="right"/>
              <w:rPr>
                <w:rFonts w:ascii="Calibri" w:hAnsi="Calibri" w:cs="Calibri"/>
                <w:color w:val="000000"/>
                <w:sz w:val="18"/>
                <w:szCs w:val="18"/>
              </w:rPr>
            </w:pPr>
            <w:r w:rsidRPr="001B7135">
              <w:rPr>
                <w:rFonts w:ascii="Calibri" w:hAnsi="Calibri" w:cs="Calibri"/>
                <w:color w:val="000000"/>
                <w:sz w:val="18"/>
                <w:szCs w:val="18"/>
              </w:rPr>
              <w:t xml:space="preserve"> $       (2,380,597)</w:t>
            </w:r>
          </w:p>
        </w:tc>
      </w:tr>
      <w:tr w:rsidR="00D83B52" w:rsidRPr="001B7135" w14:paraId="788BF27B" w14:textId="77777777" w:rsidTr="00D83B52">
        <w:trPr>
          <w:trHeight w:val="300"/>
          <w:jc w:val="center"/>
        </w:trPr>
        <w:tc>
          <w:tcPr>
            <w:tcW w:w="840" w:type="dxa"/>
            <w:tcBorders>
              <w:top w:val="nil"/>
              <w:left w:val="single" w:sz="4" w:space="0" w:color="auto"/>
              <w:bottom w:val="nil"/>
              <w:right w:val="single" w:sz="4" w:space="0" w:color="auto"/>
            </w:tcBorders>
            <w:shd w:val="clear" w:color="auto" w:fill="auto"/>
            <w:noWrap/>
            <w:vAlign w:val="bottom"/>
            <w:hideMark/>
          </w:tcPr>
          <w:p w14:paraId="220B0056" w14:textId="77777777" w:rsidR="00D83B52" w:rsidRPr="001B7135" w:rsidRDefault="00D83B52" w:rsidP="00D83B52">
            <w:pPr>
              <w:jc w:val="center"/>
              <w:rPr>
                <w:rFonts w:ascii="Calibri" w:hAnsi="Calibri" w:cs="Calibri"/>
                <w:color w:val="000000"/>
                <w:sz w:val="18"/>
                <w:szCs w:val="18"/>
              </w:rPr>
            </w:pPr>
            <w:r w:rsidRPr="001B7135">
              <w:rPr>
                <w:rFonts w:ascii="Calibri" w:hAnsi="Calibri" w:cs="Calibri"/>
                <w:color w:val="000000"/>
                <w:sz w:val="18"/>
                <w:szCs w:val="18"/>
              </w:rPr>
              <w:t>3</w:t>
            </w:r>
          </w:p>
        </w:tc>
        <w:tc>
          <w:tcPr>
            <w:tcW w:w="3565" w:type="dxa"/>
            <w:tcBorders>
              <w:top w:val="nil"/>
              <w:left w:val="nil"/>
              <w:bottom w:val="nil"/>
              <w:right w:val="nil"/>
            </w:tcBorders>
            <w:shd w:val="clear" w:color="auto" w:fill="auto"/>
            <w:noWrap/>
            <w:vAlign w:val="bottom"/>
            <w:hideMark/>
          </w:tcPr>
          <w:p w14:paraId="1B18B06C" w14:textId="77777777" w:rsidR="00D83B52" w:rsidRPr="001B7135" w:rsidRDefault="00D83B52" w:rsidP="00D83B52">
            <w:pPr>
              <w:rPr>
                <w:rFonts w:ascii="Calibri" w:hAnsi="Calibri" w:cs="Calibri"/>
                <w:color w:val="000000"/>
                <w:sz w:val="18"/>
                <w:szCs w:val="18"/>
              </w:rPr>
            </w:pPr>
            <w:r w:rsidRPr="001B7135">
              <w:rPr>
                <w:rFonts w:ascii="Calibri" w:hAnsi="Calibri" w:cs="Calibri"/>
                <w:color w:val="000000"/>
                <w:sz w:val="18"/>
                <w:szCs w:val="18"/>
              </w:rPr>
              <w:t>Account 547, Other Fuel</w:t>
            </w:r>
          </w:p>
        </w:tc>
        <w:tc>
          <w:tcPr>
            <w:tcW w:w="1710" w:type="dxa"/>
            <w:tcBorders>
              <w:top w:val="nil"/>
              <w:left w:val="nil"/>
              <w:bottom w:val="nil"/>
              <w:right w:val="nil"/>
            </w:tcBorders>
            <w:shd w:val="clear" w:color="auto" w:fill="auto"/>
            <w:noWrap/>
            <w:vAlign w:val="bottom"/>
            <w:hideMark/>
          </w:tcPr>
          <w:p w14:paraId="1D34D629" w14:textId="77777777" w:rsidR="00D83B52" w:rsidRPr="001B7135" w:rsidRDefault="00D83B52" w:rsidP="00D83B52">
            <w:pPr>
              <w:jc w:val="right"/>
              <w:rPr>
                <w:rFonts w:ascii="Calibri" w:hAnsi="Calibri" w:cs="Calibri"/>
                <w:color w:val="000000"/>
                <w:sz w:val="18"/>
                <w:szCs w:val="18"/>
              </w:rPr>
            </w:pPr>
            <w:r w:rsidRPr="001B7135">
              <w:rPr>
                <w:rFonts w:ascii="Calibri" w:hAnsi="Calibri" w:cs="Calibri"/>
                <w:color w:val="000000"/>
                <w:sz w:val="18"/>
                <w:szCs w:val="18"/>
              </w:rPr>
              <w:t xml:space="preserve"> $             33,367,563 </w:t>
            </w:r>
          </w:p>
        </w:tc>
        <w:tc>
          <w:tcPr>
            <w:tcW w:w="1620" w:type="dxa"/>
            <w:tcBorders>
              <w:top w:val="nil"/>
              <w:left w:val="nil"/>
              <w:bottom w:val="nil"/>
              <w:right w:val="nil"/>
            </w:tcBorders>
            <w:shd w:val="clear" w:color="auto" w:fill="auto"/>
            <w:noWrap/>
            <w:vAlign w:val="bottom"/>
            <w:hideMark/>
          </w:tcPr>
          <w:p w14:paraId="0F089BD8" w14:textId="71886281" w:rsidR="00D83B52" w:rsidRPr="001B7135" w:rsidRDefault="00D83B52" w:rsidP="00D83B52">
            <w:pPr>
              <w:jc w:val="right"/>
              <w:rPr>
                <w:rFonts w:ascii="Calibri" w:hAnsi="Calibri" w:cs="Calibri"/>
                <w:color w:val="000000"/>
                <w:sz w:val="18"/>
                <w:szCs w:val="18"/>
              </w:rPr>
            </w:pPr>
            <w:r w:rsidRPr="001B7135">
              <w:rPr>
                <w:rFonts w:ascii="Calibri" w:hAnsi="Calibri" w:cs="Calibri"/>
                <w:color w:val="000000"/>
                <w:sz w:val="18"/>
                <w:szCs w:val="18"/>
              </w:rPr>
              <w:t xml:space="preserve"> $     134,</w:t>
            </w:r>
            <w:r w:rsidR="00CC3CB9">
              <w:rPr>
                <w:rFonts w:ascii="Calibri" w:hAnsi="Calibri" w:cs="Calibri"/>
                <w:color w:val="000000"/>
                <w:sz w:val="18"/>
                <w:szCs w:val="18"/>
              </w:rPr>
              <w:t>492</w:t>
            </w:r>
            <w:r w:rsidRPr="001B7135">
              <w:rPr>
                <w:rFonts w:ascii="Calibri" w:hAnsi="Calibri" w:cs="Calibri"/>
                <w:color w:val="000000"/>
                <w:sz w:val="18"/>
                <w:szCs w:val="18"/>
              </w:rPr>
              <w:t>,6</w:t>
            </w:r>
            <w:r w:rsidR="00CC3CB9">
              <w:rPr>
                <w:rFonts w:ascii="Calibri" w:hAnsi="Calibri" w:cs="Calibri"/>
                <w:color w:val="000000"/>
                <w:sz w:val="18"/>
                <w:szCs w:val="18"/>
              </w:rPr>
              <w:t>88</w:t>
            </w:r>
            <w:r w:rsidRPr="001B7135">
              <w:rPr>
                <w:rFonts w:ascii="Calibri" w:hAnsi="Calibri" w:cs="Calibri"/>
                <w:color w:val="000000"/>
                <w:sz w:val="18"/>
                <w:szCs w:val="18"/>
              </w:rPr>
              <w:t xml:space="preserve"> </w:t>
            </w:r>
          </w:p>
        </w:tc>
        <w:tc>
          <w:tcPr>
            <w:tcW w:w="1980" w:type="dxa"/>
            <w:tcBorders>
              <w:top w:val="nil"/>
              <w:left w:val="nil"/>
              <w:bottom w:val="nil"/>
              <w:right w:val="single" w:sz="4" w:space="0" w:color="auto"/>
            </w:tcBorders>
            <w:shd w:val="clear" w:color="auto" w:fill="auto"/>
            <w:noWrap/>
            <w:vAlign w:val="bottom"/>
            <w:hideMark/>
          </w:tcPr>
          <w:p w14:paraId="584F62BE" w14:textId="4FAC3EC4" w:rsidR="00D83B52" w:rsidRPr="001B7135" w:rsidRDefault="00D83B52" w:rsidP="00D83B52">
            <w:pPr>
              <w:jc w:val="right"/>
              <w:rPr>
                <w:rFonts w:ascii="Calibri" w:hAnsi="Calibri" w:cs="Calibri"/>
                <w:color w:val="000000"/>
                <w:sz w:val="18"/>
                <w:szCs w:val="18"/>
              </w:rPr>
            </w:pPr>
            <w:r w:rsidRPr="001B7135">
              <w:rPr>
                <w:rFonts w:ascii="Calibri" w:hAnsi="Calibri" w:cs="Calibri"/>
                <w:color w:val="000000"/>
                <w:sz w:val="18"/>
                <w:szCs w:val="18"/>
              </w:rPr>
              <w:t xml:space="preserve"> $     101,256,077 </w:t>
            </w:r>
          </w:p>
        </w:tc>
      </w:tr>
      <w:tr w:rsidR="00D83B52" w:rsidRPr="001B7135" w14:paraId="6276DCEE" w14:textId="77777777" w:rsidTr="00D83B52">
        <w:trPr>
          <w:trHeight w:val="300"/>
          <w:jc w:val="center"/>
        </w:trPr>
        <w:tc>
          <w:tcPr>
            <w:tcW w:w="840" w:type="dxa"/>
            <w:tcBorders>
              <w:top w:val="nil"/>
              <w:left w:val="single" w:sz="4" w:space="0" w:color="auto"/>
              <w:bottom w:val="nil"/>
              <w:right w:val="single" w:sz="4" w:space="0" w:color="auto"/>
            </w:tcBorders>
            <w:shd w:val="clear" w:color="auto" w:fill="auto"/>
            <w:noWrap/>
            <w:vAlign w:val="bottom"/>
            <w:hideMark/>
          </w:tcPr>
          <w:p w14:paraId="2BE24242" w14:textId="77777777" w:rsidR="00D83B52" w:rsidRPr="001B7135" w:rsidRDefault="00D83B52" w:rsidP="00D83B52">
            <w:pPr>
              <w:jc w:val="center"/>
              <w:rPr>
                <w:rFonts w:ascii="Calibri" w:hAnsi="Calibri" w:cs="Calibri"/>
                <w:color w:val="000000"/>
                <w:sz w:val="18"/>
                <w:szCs w:val="18"/>
              </w:rPr>
            </w:pPr>
            <w:r w:rsidRPr="001B7135">
              <w:rPr>
                <w:rFonts w:ascii="Calibri" w:hAnsi="Calibri" w:cs="Calibri"/>
                <w:color w:val="000000"/>
                <w:sz w:val="18"/>
                <w:szCs w:val="18"/>
              </w:rPr>
              <w:t>4</w:t>
            </w:r>
          </w:p>
        </w:tc>
        <w:tc>
          <w:tcPr>
            <w:tcW w:w="3565" w:type="dxa"/>
            <w:tcBorders>
              <w:top w:val="nil"/>
              <w:left w:val="nil"/>
              <w:bottom w:val="nil"/>
              <w:right w:val="nil"/>
            </w:tcBorders>
            <w:shd w:val="clear" w:color="auto" w:fill="auto"/>
            <w:noWrap/>
            <w:vAlign w:val="bottom"/>
            <w:hideMark/>
          </w:tcPr>
          <w:p w14:paraId="2214B545" w14:textId="77777777" w:rsidR="00D83B52" w:rsidRPr="001B7135" w:rsidRDefault="00D83B52" w:rsidP="00D83B52">
            <w:pPr>
              <w:rPr>
                <w:rFonts w:ascii="Calibri" w:hAnsi="Calibri" w:cs="Calibri"/>
                <w:color w:val="000000"/>
                <w:sz w:val="18"/>
                <w:szCs w:val="18"/>
              </w:rPr>
            </w:pPr>
            <w:r w:rsidRPr="001B7135">
              <w:rPr>
                <w:rFonts w:ascii="Calibri" w:hAnsi="Calibri" w:cs="Calibri"/>
                <w:color w:val="000000"/>
                <w:sz w:val="18"/>
                <w:szCs w:val="18"/>
              </w:rPr>
              <w:t>Account 555, Purchased Power Non-PURPA</w:t>
            </w:r>
          </w:p>
        </w:tc>
        <w:tc>
          <w:tcPr>
            <w:tcW w:w="1710" w:type="dxa"/>
            <w:tcBorders>
              <w:top w:val="nil"/>
              <w:left w:val="nil"/>
              <w:bottom w:val="nil"/>
              <w:right w:val="nil"/>
            </w:tcBorders>
            <w:shd w:val="clear" w:color="auto" w:fill="auto"/>
            <w:noWrap/>
            <w:vAlign w:val="bottom"/>
            <w:hideMark/>
          </w:tcPr>
          <w:p w14:paraId="0F7AE2FF" w14:textId="77777777" w:rsidR="00D83B52" w:rsidRPr="001B7135" w:rsidRDefault="00D83B52" w:rsidP="00D83B52">
            <w:pPr>
              <w:jc w:val="right"/>
              <w:rPr>
                <w:rFonts w:ascii="Calibri" w:hAnsi="Calibri" w:cs="Calibri"/>
                <w:color w:val="000000"/>
                <w:sz w:val="18"/>
                <w:szCs w:val="18"/>
              </w:rPr>
            </w:pPr>
            <w:r w:rsidRPr="001B7135">
              <w:rPr>
                <w:rFonts w:ascii="Calibri" w:hAnsi="Calibri" w:cs="Calibri"/>
                <w:color w:val="000000"/>
                <w:sz w:val="18"/>
                <w:szCs w:val="18"/>
              </w:rPr>
              <w:t xml:space="preserve"> $             62,606,593 </w:t>
            </w:r>
          </w:p>
        </w:tc>
        <w:tc>
          <w:tcPr>
            <w:tcW w:w="1620" w:type="dxa"/>
            <w:tcBorders>
              <w:top w:val="nil"/>
              <w:left w:val="nil"/>
              <w:bottom w:val="nil"/>
              <w:right w:val="nil"/>
            </w:tcBorders>
            <w:shd w:val="clear" w:color="auto" w:fill="auto"/>
            <w:noWrap/>
            <w:vAlign w:val="bottom"/>
            <w:hideMark/>
          </w:tcPr>
          <w:p w14:paraId="78631CB0" w14:textId="129C78D8" w:rsidR="00D83B52" w:rsidRPr="001B7135" w:rsidRDefault="00D83B52" w:rsidP="00D83B52">
            <w:pPr>
              <w:jc w:val="right"/>
              <w:rPr>
                <w:rFonts w:ascii="Calibri" w:hAnsi="Calibri" w:cs="Calibri"/>
                <w:color w:val="000000"/>
                <w:sz w:val="18"/>
                <w:szCs w:val="18"/>
              </w:rPr>
            </w:pPr>
            <w:r w:rsidRPr="001B7135">
              <w:rPr>
                <w:rFonts w:ascii="Calibri" w:hAnsi="Calibri" w:cs="Calibri"/>
                <w:color w:val="000000"/>
                <w:sz w:val="18"/>
                <w:szCs w:val="18"/>
              </w:rPr>
              <w:t xml:space="preserve"> $     123,485,717</w:t>
            </w:r>
          </w:p>
        </w:tc>
        <w:tc>
          <w:tcPr>
            <w:tcW w:w="1980" w:type="dxa"/>
            <w:tcBorders>
              <w:top w:val="nil"/>
              <w:left w:val="nil"/>
              <w:bottom w:val="nil"/>
              <w:right w:val="single" w:sz="4" w:space="0" w:color="auto"/>
            </w:tcBorders>
            <w:shd w:val="clear" w:color="auto" w:fill="auto"/>
            <w:noWrap/>
            <w:vAlign w:val="bottom"/>
            <w:hideMark/>
          </w:tcPr>
          <w:p w14:paraId="0D5073CB" w14:textId="6CA55B1F" w:rsidR="00D83B52" w:rsidRPr="001B7135" w:rsidRDefault="00D83B52" w:rsidP="00D83B52">
            <w:pPr>
              <w:jc w:val="right"/>
              <w:rPr>
                <w:rFonts w:ascii="Calibri" w:hAnsi="Calibri" w:cs="Calibri"/>
                <w:color w:val="000000"/>
                <w:sz w:val="18"/>
                <w:szCs w:val="18"/>
              </w:rPr>
            </w:pPr>
            <w:r w:rsidRPr="001B7135">
              <w:rPr>
                <w:rFonts w:ascii="Calibri" w:hAnsi="Calibri" w:cs="Calibri"/>
                <w:color w:val="000000"/>
                <w:sz w:val="18"/>
                <w:szCs w:val="18"/>
              </w:rPr>
              <w:t xml:space="preserve"> $       60,8</w:t>
            </w:r>
            <w:r w:rsidR="00CC3CB9">
              <w:rPr>
                <w:rFonts w:ascii="Calibri" w:hAnsi="Calibri" w:cs="Calibri"/>
                <w:color w:val="000000"/>
                <w:sz w:val="18"/>
                <w:szCs w:val="18"/>
              </w:rPr>
              <w:t>86</w:t>
            </w:r>
            <w:r w:rsidRPr="001B7135">
              <w:rPr>
                <w:rFonts w:ascii="Calibri" w:hAnsi="Calibri" w:cs="Calibri"/>
                <w:color w:val="000000"/>
                <w:sz w:val="18"/>
                <w:szCs w:val="18"/>
              </w:rPr>
              <w:t>,</w:t>
            </w:r>
            <w:r w:rsidR="00CC3CB9">
              <w:rPr>
                <w:rFonts w:ascii="Calibri" w:hAnsi="Calibri" w:cs="Calibri"/>
                <w:color w:val="000000"/>
                <w:sz w:val="18"/>
                <w:szCs w:val="18"/>
              </w:rPr>
              <w:t>095</w:t>
            </w:r>
            <w:r w:rsidRPr="001B7135">
              <w:rPr>
                <w:rFonts w:ascii="Calibri" w:hAnsi="Calibri" w:cs="Calibri"/>
                <w:color w:val="000000"/>
                <w:sz w:val="18"/>
                <w:szCs w:val="18"/>
              </w:rPr>
              <w:t xml:space="preserve"> </w:t>
            </w:r>
          </w:p>
        </w:tc>
      </w:tr>
      <w:tr w:rsidR="00D83B52" w:rsidRPr="001B7135" w14:paraId="4E10A088" w14:textId="77777777" w:rsidTr="00D83B52">
        <w:trPr>
          <w:trHeight w:val="300"/>
          <w:jc w:val="center"/>
        </w:trPr>
        <w:tc>
          <w:tcPr>
            <w:tcW w:w="840" w:type="dxa"/>
            <w:tcBorders>
              <w:top w:val="nil"/>
              <w:left w:val="single" w:sz="4" w:space="0" w:color="auto"/>
              <w:bottom w:val="nil"/>
              <w:right w:val="single" w:sz="4" w:space="0" w:color="auto"/>
            </w:tcBorders>
            <w:shd w:val="clear" w:color="auto" w:fill="auto"/>
            <w:noWrap/>
            <w:vAlign w:val="bottom"/>
            <w:hideMark/>
          </w:tcPr>
          <w:p w14:paraId="05067A6B" w14:textId="77777777" w:rsidR="00D83B52" w:rsidRPr="001B7135" w:rsidRDefault="00D83B52" w:rsidP="00D83B52">
            <w:pPr>
              <w:jc w:val="center"/>
              <w:rPr>
                <w:rFonts w:ascii="Calibri" w:hAnsi="Calibri" w:cs="Calibri"/>
                <w:color w:val="000000"/>
                <w:sz w:val="18"/>
                <w:szCs w:val="18"/>
              </w:rPr>
            </w:pPr>
            <w:r w:rsidRPr="001B7135">
              <w:rPr>
                <w:rFonts w:ascii="Calibri" w:hAnsi="Calibri" w:cs="Calibri"/>
                <w:color w:val="000000"/>
                <w:sz w:val="18"/>
                <w:szCs w:val="18"/>
              </w:rPr>
              <w:t>5</w:t>
            </w:r>
          </w:p>
        </w:tc>
        <w:tc>
          <w:tcPr>
            <w:tcW w:w="3565" w:type="dxa"/>
            <w:tcBorders>
              <w:top w:val="nil"/>
              <w:left w:val="nil"/>
              <w:bottom w:val="nil"/>
              <w:right w:val="nil"/>
            </w:tcBorders>
            <w:shd w:val="clear" w:color="auto" w:fill="auto"/>
            <w:noWrap/>
            <w:vAlign w:val="bottom"/>
            <w:hideMark/>
          </w:tcPr>
          <w:p w14:paraId="64931A2F" w14:textId="77777777" w:rsidR="00D83B52" w:rsidRPr="001B7135" w:rsidRDefault="00D83B52" w:rsidP="00D83B52">
            <w:pPr>
              <w:rPr>
                <w:rFonts w:ascii="Calibri" w:hAnsi="Calibri" w:cs="Calibri"/>
                <w:color w:val="000000"/>
                <w:sz w:val="18"/>
                <w:szCs w:val="18"/>
              </w:rPr>
            </w:pPr>
            <w:r w:rsidRPr="001B7135">
              <w:rPr>
                <w:rFonts w:ascii="Calibri" w:hAnsi="Calibri" w:cs="Calibri"/>
                <w:color w:val="000000"/>
                <w:sz w:val="18"/>
                <w:szCs w:val="18"/>
              </w:rPr>
              <w:t xml:space="preserve">Account 565, 3rd Party Transmission </w:t>
            </w:r>
          </w:p>
        </w:tc>
        <w:tc>
          <w:tcPr>
            <w:tcW w:w="1710" w:type="dxa"/>
            <w:tcBorders>
              <w:top w:val="nil"/>
              <w:left w:val="nil"/>
              <w:bottom w:val="nil"/>
              <w:right w:val="nil"/>
            </w:tcBorders>
            <w:shd w:val="clear" w:color="auto" w:fill="auto"/>
            <w:noWrap/>
            <w:vAlign w:val="bottom"/>
            <w:hideMark/>
          </w:tcPr>
          <w:p w14:paraId="7A606991" w14:textId="77777777" w:rsidR="00D83B52" w:rsidRPr="001B7135" w:rsidRDefault="00D83B52" w:rsidP="00D83B52">
            <w:pPr>
              <w:jc w:val="right"/>
              <w:rPr>
                <w:rFonts w:ascii="Calibri" w:hAnsi="Calibri" w:cs="Calibri"/>
                <w:color w:val="000000"/>
                <w:sz w:val="18"/>
                <w:szCs w:val="18"/>
              </w:rPr>
            </w:pPr>
            <w:r w:rsidRPr="001B7135">
              <w:rPr>
                <w:rFonts w:ascii="Calibri" w:hAnsi="Calibri" w:cs="Calibri"/>
                <w:color w:val="000000"/>
                <w:sz w:val="18"/>
                <w:szCs w:val="18"/>
              </w:rPr>
              <w:t xml:space="preserve"> $               5,455,955 </w:t>
            </w:r>
          </w:p>
        </w:tc>
        <w:tc>
          <w:tcPr>
            <w:tcW w:w="1620" w:type="dxa"/>
            <w:tcBorders>
              <w:top w:val="nil"/>
              <w:left w:val="nil"/>
              <w:bottom w:val="nil"/>
              <w:right w:val="nil"/>
            </w:tcBorders>
            <w:shd w:val="clear" w:color="auto" w:fill="auto"/>
            <w:noWrap/>
            <w:vAlign w:val="bottom"/>
            <w:hideMark/>
          </w:tcPr>
          <w:p w14:paraId="5FBEE07A" w14:textId="5BEE5F41" w:rsidR="00D83B52" w:rsidRPr="001B7135" w:rsidRDefault="00D83B52" w:rsidP="00D83B52">
            <w:pPr>
              <w:jc w:val="right"/>
              <w:rPr>
                <w:rFonts w:ascii="Calibri" w:hAnsi="Calibri" w:cs="Calibri"/>
                <w:color w:val="000000"/>
                <w:sz w:val="18"/>
                <w:szCs w:val="18"/>
              </w:rPr>
            </w:pPr>
            <w:r w:rsidRPr="001B7135">
              <w:rPr>
                <w:rFonts w:ascii="Calibri" w:hAnsi="Calibri" w:cs="Calibri"/>
                <w:color w:val="000000"/>
                <w:sz w:val="18"/>
                <w:szCs w:val="18"/>
              </w:rPr>
              <w:t xml:space="preserve"> $         7,964,649 </w:t>
            </w:r>
          </w:p>
        </w:tc>
        <w:tc>
          <w:tcPr>
            <w:tcW w:w="1980" w:type="dxa"/>
            <w:tcBorders>
              <w:top w:val="nil"/>
              <w:left w:val="nil"/>
              <w:bottom w:val="nil"/>
              <w:right w:val="single" w:sz="4" w:space="0" w:color="auto"/>
            </w:tcBorders>
            <w:shd w:val="clear" w:color="auto" w:fill="auto"/>
            <w:noWrap/>
            <w:vAlign w:val="bottom"/>
            <w:hideMark/>
          </w:tcPr>
          <w:p w14:paraId="38B68B74" w14:textId="7B2E5B41" w:rsidR="00D83B52" w:rsidRPr="001B7135" w:rsidRDefault="00D83B52" w:rsidP="00D83B52">
            <w:pPr>
              <w:jc w:val="right"/>
              <w:rPr>
                <w:rFonts w:ascii="Calibri" w:hAnsi="Calibri" w:cs="Calibri"/>
                <w:color w:val="000000"/>
                <w:sz w:val="18"/>
                <w:szCs w:val="18"/>
              </w:rPr>
            </w:pPr>
            <w:r w:rsidRPr="001B7135">
              <w:rPr>
                <w:rFonts w:ascii="Calibri" w:hAnsi="Calibri" w:cs="Calibri"/>
                <w:color w:val="000000"/>
                <w:sz w:val="18"/>
                <w:szCs w:val="18"/>
              </w:rPr>
              <w:t xml:space="preserve"> $         2,508,694 </w:t>
            </w:r>
          </w:p>
        </w:tc>
      </w:tr>
      <w:tr w:rsidR="00D83B52" w:rsidRPr="001B7135" w14:paraId="542B443C" w14:textId="77777777" w:rsidTr="00D83B52">
        <w:trPr>
          <w:trHeight w:val="300"/>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6EEB4E81" w14:textId="77777777" w:rsidR="00D83B52" w:rsidRPr="001B7135" w:rsidRDefault="00D83B52" w:rsidP="00D83B52">
            <w:pPr>
              <w:jc w:val="center"/>
              <w:rPr>
                <w:rFonts w:ascii="Calibri" w:hAnsi="Calibri" w:cs="Calibri"/>
                <w:color w:val="000000"/>
                <w:sz w:val="18"/>
                <w:szCs w:val="18"/>
              </w:rPr>
            </w:pPr>
            <w:r w:rsidRPr="001B7135">
              <w:rPr>
                <w:rFonts w:ascii="Calibri" w:hAnsi="Calibri" w:cs="Calibri"/>
                <w:color w:val="000000"/>
                <w:sz w:val="18"/>
                <w:szCs w:val="18"/>
              </w:rPr>
              <w:t>6</w:t>
            </w:r>
          </w:p>
        </w:tc>
        <w:tc>
          <w:tcPr>
            <w:tcW w:w="3565" w:type="dxa"/>
            <w:tcBorders>
              <w:top w:val="nil"/>
              <w:left w:val="nil"/>
              <w:bottom w:val="single" w:sz="4" w:space="0" w:color="auto"/>
              <w:right w:val="nil"/>
            </w:tcBorders>
            <w:shd w:val="clear" w:color="auto" w:fill="auto"/>
            <w:noWrap/>
            <w:vAlign w:val="bottom"/>
            <w:hideMark/>
          </w:tcPr>
          <w:p w14:paraId="542FA78B" w14:textId="77777777" w:rsidR="00D83B52" w:rsidRPr="001B7135" w:rsidRDefault="00D83B52" w:rsidP="00D83B52">
            <w:pPr>
              <w:rPr>
                <w:rFonts w:ascii="Calibri" w:hAnsi="Calibri" w:cs="Calibri"/>
                <w:color w:val="000000"/>
                <w:sz w:val="18"/>
                <w:szCs w:val="18"/>
              </w:rPr>
            </w:pPr>
            <w:r w:rsidRPr="001B7135">
              <w:rPr>
                <w:rFonts w:ascii="Calibri" w:hAnsi="Calibri" w:cs="Calibri"/>
                <w:color w:val="000000"/>
                <w:sz w:val="18"/>
                <w:szCs w:val="18"/>
              </w:rPr>
              <w:t>Account 447, Surplus Sales</w:t>
            </w:r>
          </w:p>
        </w:tc>
        <w:tc>
          <w:tcPr>
            <w:tcW w:w="1710" w:type="dxa"/>
            <w:tcBorders>
              <w:top w:val="nil"/>
              <w:left w:val="nil"/>
              <w:bottom w:val="single" w:sz="4" w:space="0" w:color="auto"/>
              <w:right w:val="nil"/>
            </w:tcBorders>
            <w:shd w:val="clear" w:color="auto" w:fill="auto"/>
            <w:noWrap/>
            <w:vAlign w:val="bottom"/>
            <w:hideMark/>
          </w:tcPr>
          <w:p w14:paraId="433B62ED" w14:textId="5C0EEB4B" w:rsidR="00D83B52" w:rsidRPr="001B7135" w:rsidRDefault="00D83B52" w:rsidP="00D83B52">
            <w:pPr>
              <w:rPr>
                <w:rFonts w:ascii="Calibri" w:hAnsi="Calibri" w:cs="Calibri"/>
                <w:color w:val="000000"/>
                <w:sz w:val="18"/>
                <w:szCs w:val="18"/>
              </w:rPr>
            </w:pPr>
            <w:r w:rsidRPr="001B7135">
              <w:rPr>
                <w:rFonts w:ascii="Calibri" w:hAnsi="Calibri" w:cs="Calibri"/>
                <w:color w:val="000000"/>
                <w:sz w:val="18"/>
                <w:szCs w:val="18"/>
              </w:rPr>
              <w:t xml:space="preserve">  $         (51,735,153)</w:t>
            </w:r>
          </w:p>
        </w:tc>
        <w:tc>
          <w:tcPr>
            <w:tcW w:w="1620" w:type="dxa"/>
            <w:tcBorders>
              <w:top w:val="nil"/>
              <w:left w:val="nil"/>
              <w:bottom w:val="single" w:sz="4" w:space="0" w:color="auto"/>
              <w:right w:val="nil"/>
            </w:tcBorders>
            <w:shd w:val="clear" w:color="auto" w:fill="auto"/>
            <w:noWrap/>
            <w:vAlign w:val="bottom"/>
            <w:hideMark/>
          </w:tcPr>
          <w:p w14:paraId="584EF95C" w14:textId="01B4D72C" w:rsidR="00D83B52" w:rsidRPr="001B7135" w:rsidRDefault="00D83B52" w:rsidP="00D83B52">
            <w:pPr>
              <w:jc w:val="right"/>
              <w:rPr>
                <w:rFonts w:ascii="Calibri" w:hAnsi="Calibri" w:cs="Calibri"/>
                <w:color w:val="000000"/>
                <w:sz w:val="18"/>
                <w:szCs w:val="18"/>
              </w:rPr>
            </w:pPr>
            <w:r w:rsidRPr="001B7135">
              <w:rPr>
                <w:rFonts w:ascii="Calibri" w:hAnsi="Calibri" w:cs="Calibri"/>
                <w:color w:val="000000"/>
                <w:sz w:val="18"/>
                <w:szCs w:val="18"/>
              </w:rPr>
              <w:t xml:space="preserve"> $    (84,191,539)</w:t>
            </w:r>
          </w:p>
        </w:tc>
        <w:tc>
          <w:tcPr>
            <w:tcW w:w="1980" w:type="dxa"/>
            <w:tcBorders>
              <w:top w:val="nil"/>
              <w:left w:val="nil"/>
              <w:bottom w:val="single" w:sz="4" w:space="0" w:color="auto"/>
              <w:right w:val="single" w:sz="4" w:space="0" w:color="auto"/>
            </w:tcBorders>
            <w:shd w:val="clear" w:color="auto" w:fill="auto"/>
            <w:noWrap/>
            <w:vAlign w:val="bottom"/>
            <w:hideMark/>
          </w:tcPr>
          <w:p w14:paraId="68C12166" w14:textId="7D77E237" w:rsidR="00D83B52" w:rsidRPr="001B7135" w:rsidRDefault="00D83B52" w:rsidP="00D83B52">
            <w:pPr>
              <w:jc w:val="right"/>
              <w:rPr>
                <w:rFonts w:ascii="Calibri" w:hAnsi="Calibri" w:cs="Calibri"/>
                <w:color w:val="000000"/>
                <w:sz w:val="18"/>
                <w:szCs w:val="18"/>
              </w:rPr>
            </w:pPr>
            <w:r w:rsidRPr="001B7135">
              <w:rPr>
                <w:rFonts w:ascii="Calibri" w:hAnsi="Calibri" w:cs="Calibri"/>
                <w:color w:val="000000"/>
                <w:sz w:val="18"/>
                <w:szCs w:val="18"/>
              </w:rPr>
              <w:t xml:space="preserve"> $    (32,456,386)</w:t>
            </w:r>
          </w:p>
        </w:tc>
      </w:tr>
      <w:tr w:rsidR="00011C43" w:rsidRPr="001B7135" w14:paraId="18858A49" w14:textId="77777777" w:rsidTr="00D83B52">
        <w:trPr>
          <w:trHeight w:val="300"/>
          <w:jc w:val="center"/>
        </w:trPr>
        <w:tc>
          <w:tcPr>
            <w:tcW w:w="840" w:type="dxa"/>
            <w:tcBorders>
              <w:top w:val="nil"/>
              <w:left w:val="single" w:sz="4" w:space="0" w:color="auto"/>
              <w:bottom w:val="nil"/>
              <w:right w:val="single" w:sz="4" w:space="0" w:color="auto"/>
            </w:tcBorders>
            <w:shd w:val="clear" w:color="auto" w:fill="auto"/>
            <w:noWrap/>
            <w:vAlign w:val="bottom"/>
            <w:hideMark/>
          </w:tcPr>
          <w:p w14:paraId="1AE58725" w14:textId="77777777" w:rsidR="00011C43" w:rsidRPr="001B7135" w:rsidRDefault="00011C43" w:rsidP="00011C43">
            <w:pPr>
              <w:jc w:val="center"/>
              <w:rPr>
                <w:rFonts w:ascii="Calibri" w:hAnsi="Calibri" w:cs="Calibri"/>
                <w:color w:val="000000"/>
                <w:sz w:val="18"/>
                <w:szCs w:val="18"/>
              </w:rPr>
            </w:pPr>
            <w:r w:rsidRPr="001B7135">
              <w:rPr>
                <w:rFonts w:ascii="Calibri" w:hAnsi="Calibri" w:cs="Calibri"/>
                <w:color w:val="000000"/>
                <w:sz w:val="18"/>
                <w:szCs w:val="18"/>
              </w:rPr>
              <w:t> </w:t>
            </w:r>
          </w:p>
        </w:tc>
        <w:tc>
          <w:tcPr>
            <w:tcW w:w="3565" w:type="dxa"/>
            <w:tcBorders>
              <w:top w:val="nil"/>
              <w:left w:val="nil"/>
              <w:bottom w:val="nil"/>
              <w:right w:val="nil"/>
            </w:tcBorders>
            <w:shd w:val="clear" w:color="auto" w:fill="auto"/>
            <w:noWrap/>
            <w:vAlign w:val="bottom"/>
            <w:hideMark/>
          </w:tcPr>
          <w:p w14:paraId="727E45A5" w14:textId="77777777" w:rsidR="00011C43" w:rsidRPr="001B7135" w:rsidRDefault="00011C43" w:rsidP="00011C43">
            <w:pPr>
              <w:rPr>
                <w:rFonts w:ascii="Calibri" w:hAnsi="Calibri" w:cs="Calibri"/>
                <w:color w:val="000000"/>
                <w:sz w:val="18"/>
                <w:szCs w:val="18"/>
              </w:rPr>
            </w:pPr>
            <w:r w:rsidRPr="001B7135">
              <w:rPr>
                <w:rFonts w:ascii="Calibri" w:hAnsi="Calibri" w:cs="Calibri"/>
                <w:color w:val="000000"/>
                <w:sz w:val="18"/>
                <w:szCs w:val="18"/>
              </w:rPr>
              <w:t> </w:t>
            </w:r>
          </w:p>
        </w:tc>
        <w:tc>
          <w:tcPr>
            <w:tcW w:w="1710" w:type="dxa"/>
            <w:tcBorders>
              <w:top w:val="nil"/>
              <w:left w:val="nil"/>
              <w:bottom w:val="nil"/>
              <w:right w:val="nil"/>
            </w:tcBorders>
            <w:shd w:val="clear" w:color="auto" w:fill="auto"/>
            <w:noWrap/>
            <w:vAlign w:val="bottom"/>
            <w:hideMark/>
          </w:tcPr>
          <w:p w14:paraId="7142B569" w14:textId="77777777" w:rsidR="00011C43" w:rsidRPr="001B7135" w:rsidRDefault="00011C43" w:rsidP="00011C43">
            <w:pPr>
              <w:jc w:val="right"/>
              <w:rPr>
                <w:rFonts w:ascii="Calibri" w:hAnsi="Calibri" w:cs="Calibri"/>
                <w:color w:val="000000"/>
                <w:sz w:val="18"/>
                <w:szCs w:val="18"/>
              </w:rPr>
            </w:pPr>
            <w:r w:rsidRPr="001B7135">
              <w:rPr>
                <w:rFonts w:ascii="Calibri" w:hAnsi="Calibri" w:cs="Calibri"/>
                <w:color w:val="000000"/>
                <w:sz w:val="18"/>
                <w:szCs w:val="18"/>
              </w:rPr>
              <w:t xml:space="preserve"> $          160,578,735 </w:t>
            </w:r>
          </w:p>
        </w:tc>
        <w:tc>
          <w:tcPr>
            <w:tcW w:w="1620" w:type="dxa"/>
            <w:tcBorders>
              <w:top w:val="nil"/>
              <w:left w:val="nil"/>
              <w:bottom w:val="nil"/>
              <w:right w:val="nil"/>
            </w:tcBorders>
            <w:shd w:val="clear" w:color="auto" w:fill="auto"/>
            <w:noWrap/>
            <w:vAlign w:val="bottom"/>
            <w:hideMark/>
          </w:tcPr>
          <w:p w14:paraId="273681B2" w14:textId="2A15A0C4" w:rsidR="00011C43" w:rsidRPr="001B7135" w:rsidRDefault="00011C43" w:rsidP="00D83B52">
            <w:pPr>
              <w:jc w:val="right"/>
              <w:rPr>
                <w:rFonts w:ascii="Calibri" w:hAnsi="Calibri" w:cs="Calibri"/>
                <w:color w:val="000000"/>
                <w:sz w:val="18"/>
                <w:szCs w:val="18"/>
              </w:rPr>
            </w:pPr>
            <w:r w:rsidRPr="001B7135">
              <w:rPr>
                <w:rFonts w:ascii="Calibri" w:hAnsi="Calibri" w:cs="Calibri"/>
                <w:color w:val="000000"/>
                <w:sz w:val="18"/>
                <w:szCs w:val="18"/>
              </w:rPr>
              <w:t xml:space="preserve"> $    </w:t>
            </w:r>
            <w:r w:rsidR="00D83B52" w:rsidRPr="001B7135">
              <w:rPr>
                <w:rFonts w:ascii="Calibri" w:hAnsi="Calibri" w:cs="Calibri"/>
                <w:color w:val="000000"/>
                <w:sz w:val="18"/>
                <w:szCs w:val="18"/>
              </w:rPr>
              <w:t>311,97</w:t>
            </w:r>
            <w:r w:rsidR="00CC3CB9">
              <w:rPr>
                <w:rFonts w:ascii="Calibri" w:hAnsi="Calibri" w:cs="Calibri"/>
                <w:color w:val="000000"/>
                <w:sz w:val="18"/>
                <w:szCs w:val="18"/>
              </w:rPr>
              <w:t>9</w:t>
            </w:r>
            <w:r w:rsidR="00D83B52" w:rsidRPr="001B7135">
              <w:rPr>
                <w:rFonts w:ascii="Calibri" w:hAnsi="Calibri" w:cs="Calibri"/>
                <w:color w:val="000000"/>
                <w:sz w:val="18"/>
                <w:szCs w:val="18"/>
              </w:rPr>
              <w:t>,4</w:t>
            </w:r>
            <w:r w:rsidR="00CC3CB9">
              <w:rPr>
                <w:rFonts w:ascii="Calibri" w:hAnsi="Calibri" w:cs="Calibri"/>
                <w:color w:val="000000"/>
                <w:sz w:val="18"/>
                <w:szCs w:val="18"/>
              </w:rPr>
              <w:t>64</w:t>
            </w:r>
            <w:r w:rsidRPr="001B7135">
              <w:rPr>
                <w:rFonts w:ascii="Calibri" w:hAnsi="Calibri" w:cs="Calibri"/>
                <w:color w:val="000000"/>
                <w:sz w:val="18"/>
                <w:szCs w:val="18"/>
              </w:rPr>
              <w:t xml:space="preserve"> </w:t>
            </w:r>
          </w:p>
        </w:tc>
        <w:tc>
          <w:tcPr>
            <w:tcW w:w="1980" w:type="dxa"/>
            <w:tcBorders>
              <w:top w:val="nil"/>
              <w:left w:val="nil"/>
              <w:bottom w:val="nil"/>
              <w:right w:val="single" w:sz="4" w:space="0" w:color="auto"/>
            </w:tcBorders>
            <w:shd w:val="clear" w:color="auto" w:fill="auto"/>
            <w:noWrap/>
            <w:vAlign w:val="bottom"/>
            <w:hideMark/>
          </w:tcPr>
          <w:p w14:paraId="711A4993" w14:textId="5975314D" w:rsidR="00011C43" w:rsidRPr="001B7135" w:rsidRDefault="00011C43" w:rsidP="00011C43">
            <w:pPr>
              <w:jc w:val="right"/>
              <w:rPr>
                <w:rFonts w:ascii="Calibri" w:hAnsi="Calibri" w:cs="Calibri"/>
                <w:color w:val="000000"/>
                <w:sz w:val="18"/>
                <w:szCs w:val="18"/>
              </w:rPr>
            </w:pPr>
            <w:r w:rsidRPr="001B7135">
              <w:rPr>
                <w:rFonts w:ascii="Calibri" w:hAnsi="Calibri" w:cs="Calibri"/>
                <w:color w:val="000000"/>
                <w:sz w:val="18"/>
                <w:szCs w:val="18"/>
              </w:rPr>
              <w:t xml:space="preserve"> $    </w:t>
            </w:r>
            <w:r w:rsidR="00D83B52" w:rsidRPr="001B7135">
              <w:rPr>
                <w:rFonts w:ascii="Calibri" w:hAnsi="Calibri" w:cs="Calibri"/>
                <w:color w:val="000000"/>
                <w:sz w:val="18"/>
                <w:szCs w:val="18"/>
              </w:rPr>
              <w:t>151,</w:t>
            </w:r>
            <w:r w:rsidR="00CC3CB9">
              <w:rPr>
                <w:rFonts w:ascii="Calibri" w:hAnsi="Calibri" w:cs="Calibri"/>
                <w:color w:val="000000"/>
                <w:sz w:val="18"/>
                <w:szCs w:val="18"/>
              </w:rPr>
              <w:t>400</w:t>
            </w:r>
            <w:r w:rsidR="00D83B52" w:rsidRPr="001B7135">
              <w:rPr>
                <w:rFonts w:ascii="Calibri" w:hAnsi="Calibri" w:cs="Calibri"/>
                <w:color w:val="000000"/>
                <w:sz w:val="18"/>
                <w:szCs w:val="18"/>
              </w:rPr>
              <w:t>,7</w:t>
            </w:r>
            <w:r w:rsidR="00CC3CB9">
              <w:rPr>
                <w:rFonts w:ascii="Calibri" w:hAnsi="Calibri" w:cs="Calibri"/>
                <w:color w:val="000000"/>
                <w:sz w:val="18"/>
                <w:szCs w:val="18"/>
              </w:rPr>
              <w:t>29</w:t>
            </w:r>
            <w:r w:rsidRPr="001B7135">
              <w:rPr>
                <w:rFonts w:ascii="Calibri" w:hAnsi="Calibri" w:cs="Calibri"/>
                <w:color w:val="000000"/>
                <w:sz w:val="18"/>
                <w:szCs w:val="18"/>
              </w:rPr>
              <w:t xml:space="preserve"> </w:t>
            </w:r>
          </w:p>
        </w:tc>
      </w:tr>
      <w:tr w:rsidR="00011C43" w:rsidRPr="001B7135" w14:paraId="3C1F6EAB" w14:textId="77777777" w:rsidTr="00D83B52">
        <w:trPr>
          <w:trHeight w:val="80"/>
          <w:jc w:val="center"/>
        </w:trPr>
        <w:tc>
          <w:tcPr>
            <w:tcW w:w="840" w:type="dxa"/>
            <w:tcBorders>
              <w:top w:val="nil"/>
              <w:left w:val="single" w:sz="4" w:space="0" w:color="auto"/>
              <w:bottom w:val="nil"/>
              <w:right w:val="single" w:sz="4" w:space="0" w:color="auto"/>
            </w:tcBorders>
            <w:shd w:val="clear" w:color="auto" w:fill="auto"/>
            <w:noWrap/>
            <w:vAlign w:val="bottom"/>
            <w:hideMark/>
          </w:tcPr>
          <w:p w14:paraId="5616CBFD" w14:textId="77777777" w:rsidR="00011C43" w:rsidRPr="001B7135" w:rsidRDefault="00011C43" w:rsidP="00011C43">
            <w:pPr>
              <w:jc w:val="center"/>
              <w:rPr>
                <w:rFonts w:ascii="Calibri" w:hAnsi="Calibri" w:cs="Calibri"/>
                <w:color w:val="000000"/>
                <w:sz w:val="18"/>
                <w:szCs w:val="18"/>
              </w:rPr>
            </w:pPr>
            <w:r w:rsidRPr="001B7135">
              <w:rPr>
                <w:rFonts w:ascii="Calibri" w:hAnsi="Calibri" w:cs="Calibri"/>
                <w:color w:val="000000"/>
                <w:sz w:val="18"/>
                <w:szCs w:val="18"/>
              </w:rPr>
              <w:t> </w:t>
            </w:r>
          </w:p>
        </w:tc>
        <w:tc>
          <w:tcPr>
            <w:tcW w:w="3565" w:type="dxa"/>
            <w:tcBorders>
              <w:top w:val="nil"/>
              <w:left w:val="nil"/>
              <w:bottom w:val="nil"/>
              <w:right w:val="nil"/>
            </w:tcBorders>
            <w:shd w:val="clear" w:color="auto" w:fill="auto"/>
            <w:noWrap/>
            <w:vAlign w:val="bottom"/>
            <w:hideMark/>
          </w:tcPr>
          <w:p w14:paraId="439C8EF6" w14:textId="77777777" w:rsidR="00011C43" w:rsidRPr="001B7135" w:rsidRDefault="00011C43" w:rsidP="00011C43">
            <w:pPr>
              <w:rPr>
                <w:rFonts w:ascii="Calibri" w:hAnsi="Calibri" w:cs="Calibri"/>
                <w:color w:val="000000"/>
                <w:sz w:val="18"/>
                <w:szCs w:val="18"/>
              </w:rPr>
            </w:pPr>
            <w:r w:rsidRPr="001B7135">
              <w:rPr>
                <w:rFonts w:ascii="Calibri" w:hAnsi="Calibri" w:cs="Calibri"/>
                <w:color w:val="000000"/>
                <w:sz w:val="18"/>
                <w:szCs w:val="18"/>
              </w:rPr>
              <w:t> </w:t>
            </w:r>
          </w:p>
        </w:tc>
        <w:tc>
          <w:tcPr>
            <w:tcW w:w="1710" w:type="dxa"/>
            <w:tcBorders>
              <w:top w:val="nil"/>
              <w:left w:val="nil"/>
              <w:bottom w:val="nil"/>
              <w:right w:val="nil"/>
            </w:tcBorders>
            <w:shd w:val="clear" w:color="auto" w:fill="auto"/>
            <w:noWrap/>
            <w:vAlign w:val="bottom"/>
            <w:hideMark/>
          </w:tcPr>
          <w:p w14:paraId="68255C57" w14:textId="77777777" w:rsidR="00011C43" w:rsidRPr="001B7135" w:rsidRDefault="00011C43" w:rsidP="00011C43">
            <w:pPr>
              <w:rPr>
                <w:rFonts w:ascii="Calibri" w:hAnsi="Calibri" w:cs="Calibri"/>
                <w:color w:val="000000"/>
                <w:sz w:val="18"/>
                <w:szCs w:val="18"/>
              </w:rPr>
            </w:pPr>
          </w:p>
        </w:tc>
        <w:tc>
          <w:tcPr>
            <w:tcW w:w="1620" w:type="dxa"/>
            <w:tcBorders>
              <w:top w:val="nil"/>
              <w:left w:val="nil"/>
              <w:bottom w:val="nil"/>
              <w:right w:val="nil"/>
            </w:tcBorders>
            <w:shd w:val="clear" w:color="auto" w:fill="auto"/>
            <w:noWrap/>
            <w:vAlign w:val="bottom"/>
            <w:hideMark/>
          </w:tcPr>
          <w:p w14:paraId="7C5461CC" w14:textId="77777777" w:rsidR="00011C43" w:rsidRPr="001B7135" w:rsidRDefault="00011C43" w:rsidP="00D83B52">
            <w:pPr>
              <w:jc w:val="right"/>
              <w:rPr>
                <w:rFonts w:ascii="Times New Roman" w:hAnsi="Times New Roman"/>
                <w:sz w:val="18"/>
                <w:szCs w:val="18"/>
              </w:rPr>
            </w:pPr>
          </w:p>
        </w:tc>
        <w:tc>
          <w:tcPr>
            <w:tcW w:w="1980" w:type="dxa"/>
            <w:tcBorders>
              <w:top w:val="nil"/>
              <w:left w:val="nil"/>
              <w:bottom w:val="nil"/>
              <w:right w:val="single" w:sz="4" w:space="0" w:color="auto"/>
            </w:tcBorders>
            <w:shd w:val="clear" w:color="auto" w:fill="auto"/>
            <w:noWrap/>
            <w:vAlign w:val="bottom"/>
            <w:hideMark/>
          </w:tcPr>
          <w:p w14:paraId="4C38DA67" w14:textId="77777777" w:rsidR="00011C43" w:rsidRPr="001B7135" w:rsidRDefault="00011C43" w:rsidP="00011C43">
            <w:pPr>
              <w:jc w:val="right"/>
              <w:rPr>
                <w:rFonts w:ascii="Calibri" w:hAnsi="Calibri" w:cs="Calibri"/>
                <w:color w:val="000000"/>
                <w:sz w:val="18"/>
                <w:szCs w:val="18"/>
              </w:rPr>
            </w:pPr>
            <w:r w:rsidRPr="001B7135">
              <w:rPr>
                <w:rFonts w:ascii="Calibri" w:hAnsi="Calibri" w:cs="Calibri"/>
                <w:color w:val="000000"/>
                <w:sz w:val="18"/>
                <w:szCs w:val="18"/>
              </w:rPr>
              <w:t> </w:t>
            </w:r>
          </w:p>
        </w:tc>
      </w:tr>
      <w:tr w:rsidR="00011C43" w:rsidRPr="001B7135" w14:paraId="7AB797BD" w14:textId="77777777" w:rsidTr="00D83B52">
        <w:trPr>
          <w:trHeight w:val="80"/>
          <w:jc w:val="center"/>
        </w:trPr>
        <w:tc>
          <w:tcPr>
            <w:tcW w:w="840" w:type="dxa"/>
            <w:tcBorders>
              <w:top w:val="nil"/>
              <w:left w:val="single" w:sz="4" w:space="0" w:color="auto"/>
              <w:bottom w:val="nil"/>
              <w:right w:val="single" w:sz="4" w:space="0" w:color="auto"/>
            </w:tcBorders>
            <w:shd w:val="clear" w:color="auto" w:fill="auto"/>
            <w:noWrap/>
            <w:vAlign w:val="bottom"/>
            <w:hideMark/>
          </w:tcPr>
          <w:p w14:paraId="1CE57A61" w14:textId="77777777" w:rsidR="00011C43" w:rsidRPr="001B7135" w:rsidRDefault="00011C43" w:rsidP="00011C43">
            <w:pPr>
              <w:jc w:val="center"/>
              <w:rPr>
                <w:rFonts w:ascii="Calibri" w:hAnsi="Calibri" w:cs="Calibri"/>
                <w:color w:val="000000"/>
                <w:sz w:val="18"/>
                <w:szCs w:val="18"/>
              </w:rPr>
            </w:pPr>
            <w:r w:rsidRPr="001B7135">
              <w:rPr>
                <w:rFonts w:ascii="Calibri" w:hAnsi="Calibri" w:cs="Calibri"/>
                <w:color w:val="000000"/>
                <w:sz w:val="18"/>
                <w:szCs w:val="18"/>
              </w:rPr>
              <w:t> </w:t>
            </w:r>
          </w:p>
        </w:tc>
        <w:tc>
          <w:tcPr>
            <w:tcW w:w="3565" w:type="dxa"/>
            <w:tcBorders>
              <w:top w:val="nil"/>
              <w:left w:val="nil"/>
              <w:bottom w:val="nil"/>
              <w:right w:val="nil"/>
            </w:tcBorders>
            <w:shd w:val="clear" w:color="auto" w:fill="auto"/>
            <w:noWrap/>
            <w:vAlign w:val="bottom"/>
            <w:hideMark/>
          </w:tcPr>
          <w:p w14:paraId="2A949010" w14:textId="77777777" w:rsidR="00011C43" w:rsidRPr="001B7135" w:rsidRDefault="00011C43" w:rsidP="00011C43">
            <w:pPr>
              <w:rPr>
                <w:rFonts w:ascii="Calibri" w:hAnsi="Calibri" w:cs="Calibri"/>
                <w:color w:val="000000"/>
                <w:sz w:val="18"/>
                <w:szCs w:val="18"/>
                <w:u w:val="single"/>
              </w:rPr>
            </w:pPr>
            <w:r w:rsidRPr="001B7135">
              <w:rPr>
                <w:rFonts w:ascii="Calibri" w:hAnsi="Calibri" w:cs="Calibri"/>
                <w:color w:val="000000"/>
                <w:sz w:val="18"/>
                <w:szCs w:val="18"/>
                <w:u w:val="single"/>
              </w:rPr>
              <w:t>100% Sharing Accounts</w:t>
            </w:r>
          </w:p>
        </w:tc>
        <w:tc>
          <w:tcPr>
            <w:tcW w:w="1710" w:type="dxa"/>
            <w:tcBorders>
              <w:top w:val="nil"/>
              <w:left w:val="nil"/>
              <w:bottom w:val="nil"/>
              <w:right w:val="nil"/>
            </w:tcBorders>
            <w:shd w:val="clear" w:color="auto" w:fill="auto"/>
            <w:noWrap/>
            <w:vAlign w:val="bottom"/>
            <w:hideMark/>
          </w:tcPr>
          <w:p w14:paraId="206791D4" w14:textId="77777777" w:rsidR="00011C43" w:rsidRPr="001B7135" w:rsidRDefault="00011C43" w:rsidP="00011C43">
            <w:pPr>
              <w:rPr>
                <w:rFonts w:ascii="Calibri" w:hAnsi="Calibri" w:cs="Calibri"/>
                <w:color w:val="000000"/>
                <w:sz w:val="18"/>
                <w:szCs w:val="18"/>
                <w:u w:val="single"/>
              </w:rPr>
            </w:pPr>
          </w:p>
        </w:tc>
        <w:tc>
          <w:tcPr>
            <w:tcW w:w="1620" w:type="dxa"/>
            <w:tcBorders>
              <w:top w:val="nil"/>
              <w:left w:val="nil"/>
              <w:bottom w:val="nil"/>
              <w:right w:val="nil"/>
            </w:tcBorders>
            <w:shd w:val="clear" w:color="auto" w:fill="auto"/>
            <w:noWrap/>
            <w:vAlign w:val="bottom"/>
            <w:hideMark/>
          </w:tcPr>
          <w:p w14:paraId="40522797" w14:textId="77777777" w:rsidR="00011C43" w:rsidRPr="001B7135" w:rsidRDefault="00011C43" w:rsidP="00D83B52">
            <w:pPr>
              <w:jc w:val="right"/>
              <w:rPr>
                <w:rFonts w:ascii="Times New Roman" w:hAnsi="Times New Roman"/>
                <w:sz w:val="18"/>
                <w:szCs w:val="18"/>
              </w:rPr>
            </w:pPr>
          </w:p>
        </w:tc>
        <w:tc>
          <w:tcPr>
            <w:tcW w:w="1980" w:type="dxa"/>
            <w:tcBorders>
              <w:top w:val="nil"/>
              <w:left w:val="nil"/>
              <w:bottom w:val="nil"/>
              <w:right w:val="single" w:sz="4" w:space="0" w:color="auto"/>
            </w:tcBorders>
            <w:shd w:val="clear" w:color="auto" w:fill="auto"/>
            <w:noWrap/>
            <w:vAlign w:val="bottom"/>
            <w:hideMark/>
          </w:tcPr>
          <w:p w14:paraId="2AC5A0D3" w14:textId="77777777" w:rsidR="00011C43" w:rsidRPr="001B7135" w:rsidRDefault="00011C43" w:rsidP="00011C43">
            <w:pPr>
              <w:jc w:val="right"/>
              <w:rPr>
                <w:rFonts w:ascii="Calibri" w:hAnsi="Calibri" w:cs="Calibri"/>
                <w:color w:val="000000"/>
                <w:sz w:val="18"/>
                <w:szCs w:val="18"/>
              </w:rPr>
            </w:pPr>
            <w:r w:rsidRPr="001B7135">
              <w:rPr>
                <w:rFonts w:ascii="Calibri" w:hAnsi="Calibri" w:cs="Calibri"/>
                <w:color w:val="000000"/>
                <w:sz w:val="18"/>
                <w:szCs w:val="18"/>
              </w:rPr>
              <w:t> </w:t>
            </w:r>
          </w:p>
        </w:tc>
      </w:tr>
      <w:tr w:rsidR="00D83B52" w:rsidRPr="001B7135" w14:paraId="299A1B36" w14:textId="77777777" w:rsidTr="00D83B52">
        <w:trPr>
          <w:trHeight w:val="300"/>
          <w:jc w:val="center"/>
        </w:trPr>
        <w:tc>
          <w:tcPr>
            <w:tcW w:w="840" w:type="dxa"/>
            <w:tcBorders>
              <w:top w:val="nil"/>
              <w:left w:val="single" w:sz="4" w:space="0" w:color="auto"/>
              <w:bottom w:val="nil"/>
              <w:right w:val="single" w:sz="4" w:space="0" w:color="auto"/>
            </w:tcBorders>
            <w:shd w:val="clear" w:color="auto" w:fill="auto"/>
            <w:noWrap/>
            <w:vAlign w:val="bottom"/>
            <w:hideMark/>
          </w:tcPr>
          <w:p w14:paraId="70452CBC" w14:textId="77777777" w:rsidR="00D83B52" w:rsidRPr="001B7135" w:rsidRDefault="00D83B52" w:rsidP="00D83B52">
            <w:pPr>
              <w:jc w:val="center"/>
              <w:rPr>
                <w:rFonts w:ascii="Calibri" w:hAnsi="Calibri" w:cs="Calibri"/>
                <w:color w:val="000000"/>
                <w:sz w:val="18"/>
                <w:szCs w:val="18"/>
              </w:rPr>
            </w:pPr>
            <w:r w:rsidRPr="001B7135">
              <w:rPr>
                <w:rFonts w:ascii="Calibri" w:hAnsi="Calibri" w:cs="Calibri"/>
                <w:color w:val="000000"/>
                <w:sz w:val="18"/>
                <w:szCs w:val="18"/>
              </w:rPr>
              <w:t>7</w:t>
            </w:r>
          </w:p>
        </w:tc>
        <w:tc>
          <w:tcPr>
            <w:tcW w:w="3565" w:type="dxa"/>
            <w:tcBorders>
              <w:top w:val="nil"/>
              <w:left w:val="nil"/>
              <w:bottom w:val="nil"/>
              <w:right w:val="nil"/>
            </w:tcBorders>
            <w:shd w:val="clear" w:color="auto" w:fill="auto"/>
            <w:noWrap/>
            <w:vAlign w:val="bottom"/>
            <w:hideMark/>
          </w:tcPr>
          <w:p w14:paraId="28D22AE6" w14:textId="77777777" w:rsidR="00D83B52" w:rsidRPr="001B7135" w:rsidRDefault="00D83B52" w:rsidP="00D83B52">
            <w:pPr>
              <w:rPr>
                <w:rFonts w:ascii="Calibri" w:hAnsi="Calibri" w:cs="Calibri"/>
                <w:color w:val="000000"/>
                <w:sz w:val="18"/>
                <w:szCs w:val="18"/>
              </w:rPr>
            </w:pPr>
            <w:r w:rsidRPr="001B7135">
              <w:rPr>
                <w:rFonts w:ascii="Calibri" w:hAnsi="Calibri" w:cs="Calibri"/>
                <w:color w:val="000000"/>
                <w:sz w:val="18"/>
                <w:szCs w:val="18"/>
              </w:rPr>
              <w:t>Account 555, PURPA</w:t>
            </w:r>
          </w:p>
        </w:tc>
        <w:tc>
          <w:tcPr>
            <w:tcW w:w="1710" w:type="dxa"/>
            <w:tcBorders>
              <w:top w:val="nil"/>
              <w:left w:val="nil"/>
              <w:bottom w:val="nil"/>
              <w:right w:val="nil"/>
            </w:tcBorders>
            <w:shd w:val="clear" w:color="auto" w:fill="auto"/>
            <w:noWrap/>
            <w:vAlign w:val="bottom"/>
            <w:hideMark/>
          </w:tcPr>
          <w:p w14:paraId="21C4841C" w14:textId="77777777" w:rsidR="00D83B52" w:rsidRPr="001B7135" w:rsidRDefault="00D83B52" w:rsidP="00D83B52">
            <w:pPr>
              <w:jc w:val="right"/>
              <w:rPr>
                <w:rFonts w:ascii="Calibri" w:hAnsi="Calibri" w:cs="Calibri"/>
                <w:color w:val="000000"/>
                <w:sz w:val="18"/>
                <w:szCs w:val="18"/>
              </w:rPr>
            </w:pPr>
            <w:r w:rsidRPr="001B7135">
              <w:rPr>
                <w:rFonts w:ascii="Calibri" w:hAnsi="Calibri" w:cs="Calibri"/>
                <w:color w:val="000000"/>
                <w:sz w:val="18"/>
                <w:szCs w:val="18"/>
              </w:rPr>
              <w:t xml:space="preserve"> $          133,853,869 </w:t>
            </w:r>
          </w:p>
        </w:tc>
        <w:tc>
          <w:tcPr>
            <w:tcW w:w="1620" w:type="dxa"/>
            <w:tcBorders>
              <w:top w:val="nil"/>
              <w:left w:val="nil"/>
              <w:bottom w:val="nil"/>
              <w:right w:val="nil"/>
            </w:tcBorders>
            <w:shd w:val="clear" w:color="auto" w:fill="auto"/>
            <w:noWrap/>
            <w:vAlign w:val="bottom"/>
            <w:hideMark/>
          </w:tcPr>
          <w:p w14:paraId="0B0CF5C0" w14:textId="1F999A51" w:rsidR="00D83B52" w:rsidRPr="001B7135" w:rsidRDefault="00D83B52" w:rsidP="00D83B52">
            <w:pPr>
              <w:jc w:val="right"/>
              <w:rPr>
                <w:rFonts w:ascii="Calibri" w:hAnsi="Calibri" w:cs="Calibri"/>
                <w:color w:val="000000"/>
                <w:sz w:val="18"/>
                <w:szCs w:val="18"/>
              </w:rPr>
            </w:pPr>
            <w:r w:rsidRPr="001B7135">
              <w:rPr>
                <w:rFonts w:ascii="Calibri" w:hAnsi="Calibri" w:cs="Calibri"/>
                <w:color w:val="000000"/>
                <w:sz w:val="18"/>
                <w:szCs w:val="18"/>
              </w:rPr>
              <w:t xml:space="preserve"> $ </w:t>
            </w:r>
            <w:r w:rsidR="001B7135">
              <w:rPr>
                <w:rFonts w:ascii="Calibri" w:hAnsi="Calibri" w:cs="Calibri"/>
                <w:color w:val="000000"/>
                <w:sz w:val="18"/>
                <w:szCs w:val="18"/>
              </w:rPr>
              <w:t xml:space="preserve">    </w:t>
            </w:r>
            <w:r w:rsidR="00AF16C1">
              <w:rPr>
                <w:rFonts w:ascii="Calibri" w:hAnsi="Calibri" w:cs="Calibri"/>
                <w:color w:val="000000"/>
                <w:sz w:val="18"/>
                <w:szCs w:val="18"/>
              </w:rPr>
              <w:t>2</w:t>
            </w:r>
            <w:r w:rsidRPr="001B7135">
              <w:rPr>
                <w:rFonts w:ascii="Calibri" w:hAnsi="Calibri" w:cs="Calibri"/>
                <w:color w:val="000000"/>
                <w:sz w:val="18"/>
                <w:szCs w:val="18"/>
              </w:rPr>
              <w:t xml:space="preserve">18,535,412 </w:t>
            </w:r>
          </w:p>
        </w:tc>
        <w:tc>
          <w:tcPr>
            <w:tcW w:w="1980" w:type="dxa"/>
            <w:tcBorders>
              <w:top w:val="nil"/>
              <w:left w:val="nil"/>
              <w:bottom w:val="nil"/>
              <w:right w:val="single" w:sz="4" w:space="0" w:color="auto"/>
            </w:tcBorders>
            <w:shd w:val="clear" w:color="auto" w:fill="auto"/>
            <w:noWrap/>
            <w:vAlign w:val="bottom"/>
            <w:hideMark/>
          </w:tcPr>
          <w:p w14:paraId="0B3C767C" w14:textId="71E800CA" w:rsidR="00D83B52" w:rsidRPr="001B7135" w:rsidRDefault="00D83B52" w:rsidP="00D83B52">
            <w:pPr>
              <w:jc w:val="right"/>
              <w:rPr>
                <w:rFonts w:ascii="Calibri" w:hAnsi="Calibri" w:cs="Calibri"/>
                <w:color w:val="000000"/>
                <w:sz w:val="18"/>
                <w:szCs w:val="18"/>
              </w:rPr>
            </w:pPr>
            <w:r w:rsidRPr="001B7135">
              <w:rPr>
                <w:rFonts w:ascii="Calibri" w:hAnsi="Calibri" w:cs="Calibri"/>
                <w:color w:val="000000"/>
                <w:sz w:val="18"/>
                <w:szCs w:val="18"/>
              </w:rPr>
              <w:t xml:space="preserve"> $      84,681,543 </w:t>
            </w:r>
          </w:p>
        </w:tc>
      </w:tr>
      <w:tr w:rsidR="00D83B52" w:rsidRPr="001B7135" w14:paraId="2D8E5403" w14:textId="77777777" w:rsidTr="00D83B52">
        <w:trPr>
          <w:trHeight w:val="300"/>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1812A7E2" w14:textId="77777777" w:rsidR="00D83B52" w:rsidRPr="001B7135" w:rsidRDefault="00D83B52" w:rsidP="00D83B52">
            <w:pPr>
              <w:jc w:val="center"/>
              <w:rPr>
                <w:rFonts w:ascii="Calibri" w:hAnsi="Calibri" w:cs="Calibri"/>
                <w:color w:val="000000"/>
                <w:sz w:val="18"/>
                <w:szCs w:val="18"/>
              </w:rPr>
            </w:pPr>
            <w:r w:rsidRPr="001B7135">
              <w:rPr>
                <w:rFonts w:ascii="Calibri" w:hAnsi="Calibri" w:cs="Calibri"/>
                <w:color w:val="000000"/>
                <w:sz w:val="18"/>
                <w:szCs w:val="18"/>
              </w:rPr>
              <w:t>8</w:t>
            </w:r>
          </w:p>
        </w:tc>
        <w:tc>
          <w:tcPr>
            <w:tcW w:w="3565" w:type="dxa"/>
            <w:tcBorders>
              <w:top w:val="nil"/>
              <w:left w:val="nil"/>
              <w:bottom w:val="single" w:sz="4" w:space="0" w:color="auto"/>
              <w:right w:val="nil"/>
            </w:tcBorders>
            <w:shd w:val="clear" w:color="auto" w:fill="auto"/>
            <w:noWrap/>
            <w:vAlign w:val="bottom"/>
            <w:hideMark/>
          </w:tcPr>
          <w:p w14:paraId="1EBF4499" w14:textId="77777777" w:rsidR="00D83B52" w:rsidRPr="001B7135" w:rsidRDefault="00D83B52" w:rsidP="00D83B52">
            <w:pPr>
              <w:rPr>
                <w:rFonts w:ascii="Calibri" w:hAnsi="Calibri" w:cs="Calibri"/>
                <w:color w:val="000000"/>
                <w:sz w:val="18"/>
                <w:szCs w:val="18"/>
              </w:rPr>
            </w:pPr>
            <w:r w:rsidRPr="001B7135">
              <w:rPr>
                <w:rFonts w:ascii="Calibri" w:hAnsi="Calibri" w:cs="Calibri"/>
                <w:color w:val="000000"/>
                <w:sz w:val="18"/>
                <w:szCs w:val="18"/>
              </w:rPr>
              <w:t>Account 555, Demand Response Incentives</w:t>
            </w:r>
          </w:p>
        </w:tc>
        <w:tc>
          <w:tcPr>
            <w:tcW w:w="1710" w:type="dxa"/>
            <w:tcBorders>
              <w:top w:val="nil"/>
              <w:left w:val="nil"/>
              <w:bottom w:val="single" w:sz="4" w:space="0" w:color="auto"/>
              <w:right w:val="nil"/>
            </w:tcBorders>
            <w:shd w:val="clear" w:color="auto" w:fill="auto"/>
            <w:noWrap/>
            <w:vAlign w:val="bottom"/>
            <w:hideMark/>
          </w:tcPr>
          <w:p w14:paraId="2AB75D9A" w14:textId="77777777" w:rsidR="00D83B52" w:rsidRPr="001B7135" w:rsidRDefault="00D83B52" w:rsidP="00D83B52">
            <w:pPr>
              <w:jc w:val="right"/>
              <w:rPr>
                <w:rFonts w:ascii="Calibri" w:hAnsi="Calibri" w:cs="Calibri"/>
                <w:color w:val="000000"/>
                <w:sz w:val="18"/>
                <w:szCs w:val="18"/>
              </w:rPr>
            </w:pPr>
            <w:r w:rsidRPr="001B7135">
              <w:rPr>
                <w:rFonts w:ascii="Calibri" w:hAnsi="Calibri" w:cs="Calibri"/>
                <w:color w:val="000000"/>
                <w:sz w:val="18"/>
                <w:szCs w:val="18"/>
              </w:rPr>
              <w:t xml:space="preserve"> $            11,252,265 </w:t>
            </w:r>
          </w:p>
        </w:tc>
        <w:tc>
          <w:tcPr>
            <w:tcW w:w="1620" w:type="dxa"/>
            <w:tcBorders>
              <w:top w:val="nil"/>
              <w:left w:val="nil"/>
              <w:bottom w:val="single" w:sz="4" w:space="0" w:color="auto"/>
              <w:right w:val="nil"/>
            </w:tcBorders>
            <w:shd w:val="clear" w:color="auto" w:fill="auto"/>
            <w:noWrap/>
            <w:vAlign w:val="bottom"/>
            <w:hideMark/>
          </w:tcPr>
          <w:p w14:paraId="578EA360" w14:textId="0BCE62C7" w:rsidR="00D83B52" w:rsidRPr="001B7135" w:rsidRDefault="00D83B52" w:rsidP="00D83B52">
            <w:pPr>
              <w:jc w:val="right"/>
              <w:rPr>
                <w:rFonts w:ascii="Calibri" w:hAnsi="Calibri" w:cs="Calibri"/>
                <w:color w:val="000000"/>
                <w:sz w:val="18"/>
                <w:szCs w:val="18"/>
              </w:rPr>
            </w:pPr>
            <w:r w:rsidRPr="001B7135">
              <w:rPr>
                <w:rFonts w:ascii="Calibri" w:hAnsi="Calibri" w:cs="Calibri"/>
                <w:color w:val="000000"/>
                <w:sz w:val="18"/>
                <w:szCs w:val="18"/>
              </w:rPr>
              <w:t xml:space="preserve"> $  </w:t>
            </w:r>
            <w:r w:rsidR="001B7135">
              <w:rPr>
                <w:rFonts w:ascii="Calibri" w:hAnsi="Calibri" w:cs="Calibri"/>
                <w:color w:val="000000"/>
                <w:sz w:val="18"/>
                <w:szCs w:val="18"/>
              </w:rPr>
              <w:t xml:space="preserve">  </w:t>
            </w:r>
            <w:r w:rsidRPr="001B7135">
              <w:rPr>
                <w:rFonts w:ascii="Calibri" w:hAnsi="Calibri" w:cs="Calibri"/>
                <w:color w:val="000000"/>
                <w:sz w:val="18"/>
                <w:szCs w:val="18"/>
              </w:rPr>
              <w:t xml:space="preserve"> 10,984,508 </w:t>
            </w:r>
          </w:p>
        </w:tc>
        <w:tc>
          <w:tcPr>
            <w:tcW w:w="1980" w:type="dxa"/>
            <w:tcBorders>
              <w:top w:val="nil"/>
              <w:left w:val="nil"/>
              <w:bottom w:val="single" w:sz="4" w:space="0" w:color="auto"/>
              <w:right w:val="single" w:sz="4" w:space="0" w:color="auto"/>
            </w:tcBorders>
            <w:shd w:val="clear" w:color="auto" w:fill="auto"/>
            <w:noWrap/>
            <w:vAlign w:val="bottom"/>
            <w:hideMark/>
          </w:tcPr>
          <w:p w14:paraId="161E9031" w14:textId="3ABACD6E" w:rsidR="00D83B52" w:rsidRPr="001B7135" w:rsidRDefault="00D83B52" w:rsidP="00D83B52">
            <w:pPr>
              <w:jc w:val="right"/>
              <w:rPr>
                <w:rFonts w:ascii="Calibri" w:hAnsi="Calibri" w:cs="Calibri"/>
                <w:color w:val="000000"/>
                <w:sz w:val="18"/>
                <w:szCs w:val="18"/>
              </w:rPr>
            </w:pPr>
            <w:r w:rsidRPr="001B7135">
              <w:rPr>
                <w:rFonts w:ascii="Calibri" w:hAnsi="Calibri" w:cs="Calibri"/>
                <w:color w:val="000000"/>
                <w:sz w:val="18"/>
                <w:szCs w:val="18"/>
              </w:rPr>
              <w:t xml:space="preserve"> $         (267,757)</w:t>
            </w:r>
          </w:p>
        </w:tc>
      </w:tr>
      <w:tr w:rsidR="00011C43" w:rsidRPr="001B7135" w14:paraId="25E9D333" w14:textId="77777777" w:rsidTr="00D83B52">
        <w:trPr>
          <w:trHeight w:val="440"/>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4839B102" w14:textId="77777777" w:rsidR="00011C43" w:rsidRPr="001B7135" w:rsidRDefault="00011C43" w:rsidP="00011C43">
            <w:pPr>
              <w:jc w:val="center"/>
              <w:rPr>
                <w:rFonts w:ascii="Calibri" w:hAnsi="Calibri" w:cs="Calibri"/>
                <w:color w:val="000000"/>
                <w:sz w:val="18"/>
                <w:szCs w:val="18"/>
              </w:rPr>
            </w:pPr>
            <w:r w:rsidRPr="001B7135">
              <w:rPr>
                <w:rFonts w:ascii="Calibri" w:hAnsi="Calibri" w:cs="Calibri"/>
                <w:color w:val="000000"/>
                <w:sz w:val="18"/>
                <w:szCs w:val="18"/>
              </w:rPr>
              <w:t>9</w:t>
            </w:r>
          </w:p>
        </w:tc>
        <w:tc>
          <w:tcPr>
            <w:tcW w:w="3565" w:type="dxa"/>
            <w:tcBorders>
              <w:top w:val="nil"/>
              <w:left w:val="nil"/>
              <w:bottom w:val="single" w:sz="4" w:space="0" w:color="auto"/>
              <w:right w:val="nil"/>
            </w:tcBorders>
            <w:shd w:val="clear" w:color="auto" w:fill="auto"/>
            <w:noWrap/>
            <w:vAlign w:val="bottom"/>
            <w:hideMark/>
          </w:tcPr>
          <w:p w14:paraId="68488339" w14:textId="77777777" w:rsidR="00011C43" w:rsidRPr="001B7135" w:rsidRDefault="00011C43" w:rsidP="00011C43">
            <w:pPr>
              <w:rPr>
                <w:rFonts w:ascii="Calibri" w:hAnsi="Calibri" w:cs="Calibri"/>
                <w:color w:val="000000"/>
                <w:sz w:val="18"/>
                <w:szCs w:val="18"/>
              </w:rPr>
            </w:pPr>
            <w:r w:rsidRPr="001B7135">
              <w:rPr>
                <w:rFonts w:ascii="Calibri" w:hAnsi="Calibri" w:cs="Calibri"/>
                <w:color w:val="000000"/>
                <w:sz w:val="18"/>
                <w:szCs w:val="18"/>
              </w:rPr>
              <w:t>Total</w:t>
            </w:r>
          </w:p>
        </w:tc>
        <w:tc>
          <w:tcPr>
            <w:tcW w:w="1710" w:type="dxa"/>
            <w:tcBorders>
              <w:top w:val="nil"/>
              <w:left w:val="nil"/>
              <w:bottom w:val="single" w:sz="4" w:space="0" w:color="auto"/>
              <w:right w:val="nil"/>
            </w:tcBorders>
            <w:shd w:val="clear" w:color="auto" w:fill="auto"/>
            <w:noWrap/>
            <w:vAlign w:val="bottom"/>
            <w:hideMark/>
          </w:tcPr>
          <w:p w14:paraId="40DF1852" w14:textId="77777777" w:rsidR="00011C43" w:rsidRPr="001B7135" w:rsidRDefault="00011C43" w:rsidP="00011C43">
            <w:pPr>
              <w:jc w:val="right"/>
              <w:rPr>
                <w:rFonts w:ascii="Calibri" w:hAnsi="Calibri" w:cs="Calibri"/>
                <w:color w:val="000000"/>
                <w:sz w:val="18"/>
                <w:szCs w:val="18"/>
              </w:rPr>
            </w:pPr>
            <w:r w:rsidRPr="001B7135">
              <w:rPr>
                <w:rFonts w:ascii="Calibri" w:hAnsi="Calibri" w:cs="Calibri"/>
                <w:color w:val="000000"/>
                <w:sz w:val="18"/>
                <w:szCs w:val="18"/>
              </w:rPr>
              <w:t xml:space="preserve"> $          305,684,869 </w:t>
            </w:r>
          </w:p>
        </w:tc>
        <w:tc>
          <w:tcPr>
            <w:tcW w:w="1620" w:type="dxa"/>
            <w:tcBorders>
              <w:top w:val="nil"/>
              <w:left w:val="nil"/>
              <w:bottom w:val="single" w:sz="4" w:space="0" w:color="auto"/>
              <w:right w:val="nil"/>
            </w:tcBorders>
            <w:shd w:val="clear" w:color="auto" w:fill="auto"/>
            <w:noWrap/>
            <w:vAlign w:val="bottom"/>
            <w:hideMark/>
          </w:tcPr>
          <w:p w14:paraId="49B4C9DF" w14:textId="281DE339" w:rsidR="00011C43" w:rsidRPr="001B7135" w:rsidRDefault="00011C43" w:rsidP="00D83B52">
            <w:pPr>
              <w:jc w:val="right"/>
              <w:rPr>
                <w:rFonts w:ascii="Calibri" w:hAnsi="Calibri" w:cs="Calibri"/>
                <w:color w:val="000000"/>
                <w:sz w:val="18"/>
                <w:szCs w:val="18"/>
              </w:rPr>
            </w:pPr>
            <w:r w:rsidRPr="001B7135">
              <w:rPr>
                <w:rFonts w:ascii="Calibri" w:hAnsi="Calibri" w:cs="Calibri"/>
                <w:color w:val="000000"/>
                <w:sz w:val="18"/>
                <w:szCs w:val="18"/>
              </w:rPr>
              <w:t xml:space="preserve"> $   </w:t>
            </w:r>
            <w:r w:rsidR="00D83B52" w:rsidRPr="001B7135">
              <w:rPr>
                <w:rFonts w:ascii="Calibri" w:hAnsi="Calibri" w:cs="Calibri"/>
                <w:color w:val="000000"/>
                <w:sz w:val="18"/>
                <w:szCs w:val="18"/>
              </w:rPr>
              <w:t>541,49</w:t>
            </w:r>
            <w:r w:rsidR="00CC3CB9">
              <w:rPr>
                <w:rFonts w:ascii="Calibri" w:hAnsi="Calibri" w:cs="Calibri"/>
                <w:color w:val="000000"/>
                <w:sz w:val="18"/>
                <w:szCs w:val="18"/>
              </w:rPr>
              <w:t>9</w:t>
            </w:r>
            <w:r w:rsidR="00D83B52" w:rsidRPr="001B7135">
              <w:rPr>
                <w:rFonts w:ascii="Calibri" w:hAnsi="Calibri" w:cs="Calibri"/>
                <w:color w:val="000000"/>
                <w:sz w:val="18"/>
                <w:szCs w:val="18"/>
              </w:rPr>
              <w:t>,</w:t>
            </w:r>
            <w:r w:rsidR="00CC3CB9">
              <w:rPr>
                <w:rFonts w:ascii="Calibri" w:hAnsi="Calibri" w:cs="Calibri"/>
                <w:color w:val="000000"/>
                <w:sz w:val="18"/>
                <w:szCs w:val="18"/>
              </w:rPr>
              <w:t>384</w:t>
            </w:r>
            <w:r w:rsidRPr="001B7135">
              <w:rPr>
                <w:rFonts w:ascii="Calibri" w:hAnsi="Calibri" w:cs="Calibri"/>
                <w:color w:val="000000"/>
                <w:sz w:val="18"/>
                <w:szCs w:val="18"/>
              </w:rPr>
              <w:t xml:space="preserve"> </w:t>
            </w:r>
          </w:p>
        </w:tc>
        <w:tc>
          <w:tcPr>
            <w:tcW w:w="1980" w:type="dxa"/>
            <w:tcBorders>
              <w:top w:val="nil"/>
              <w:left w:val="nil"/>
              <w:bottom w:val="single" w:sz="4" w:space="0" w:color="auto"/>
              <w:right w:val="single" w:sz="4" w:space="0" w:color="auto"/>
            </w:tcBorders>
            <w:shd w:val="clear" w:color="auto" w:fill="auto"/>
            <w:noWrap/>
            <w:vAlign w:val="bottom"/>
            <w:hideMark/>
          </w:tcPr>
          <w:p w14:paraId="184A1AEF" w14:textId="77777777" w:rsidR="00D83B52" w:rsidRPr="001B7135" w:rsidRDefault="00011C43" w:rsidP="00011C43">
            <w:pPr>
              <w:jc w:val="right"/>
              <w:rPr>
                <w:rFonts w:ascii="Calibri" w:hAnsi="Calibri" w:cs="Calibri"/>
                <w:color w:val="000000"/>
                <w:sz w:val="18"/>
                <w:szCs w:val="18"/>
              </w:rPr>
            </w:pPr>
            <w:r w:rsidRPr="001B7135">
              <w:rPr>
                <w:rFonts w:ascii="Calibri" w:hAnsi="Calibri" w:cs="Calibri"/>
                <w:color w:val="000000"/>
                <w:sz w:val="18"/>
                <w:szCs w:val="18"/>
              </w:rPr>
              <w:t xml:space="preserve"> </w:t>
            </w:r>
          </w:p>
          <w:p w14:paraId="37B13FD0" w14:textId="31444A32" w:rsidR="00011C43" w:rsidRPr="001B7135" w:rsidRDefault="00D83B52" w:rsidP="00011C43">
            <w:pPr>
              <w:jc w:val="right"/>
              <w:rPr>
                <w:rFonts w:ascii="Calibri" w:hAnsi="Calibri" w:cs="Calibri"/>
                <w:color w:val="000000"/>
                <w:sz w:val="18"/>
                <w:szCs w:val="18"/>
              </w:rPr>
            </w:pPr>
            <w:r w:rsidRPr="001B7135">
              <w:rPr>
                <w:rFonts w:ascii="Calibri" w:hAnsi="Calibri" w:cs="Calibri"/>
                <w:color w:val="000000"/>
                <w:sz w:val="18"/>
                <w:szCs w:val="18"/>
              </w:rPr>
              <w:t>$    235,8</w:t>
            </w:r>
            <w:r w:rsidR="00CC3CB9">
              <w:rPr>
                <w:rFonts w:ascii="Calibri" w:hAnsi="Calibri" w:cs="Calibri"/>
                <w:color w:val="000000"/>
                <w:sz w:val="18"/>
                <w:szCs w:val="18"/>
              </w:rPr>
              <w:t>14</w:t>
            </w:r>
            <w:r w:rsidRPr="001B7135">
              <w:rPr>
                <w:rFonts w:ascii="Calibri" w:hAnsi="Calibri" w:cs="Calibri"/>
                <w:color w:val="000000"/>
                <w:sz w:val="18"/>
                <w:szCs w:val="18"/>
              </w:rPr>
              <w:t>,5</w:t>
            </w:r>
            <w:r w:rsidR="00CC3CB9">
              <w:rPr>
                <w:rFonts w:ascii="Calibri" w:hAnsi="Calibri" w:cs="Calibri"/>
                <w:color w:val="000000"/>
                <w:sz w:val="18"/>
                <w:szCs w:val="18"/>
              </w:rPr>
              <w:t>15</w:t>
            </w:r>
            <w:r w:rsidRPr="001B7135">
              <w:rPr>
                <w:rFonts w:ascii="Calibri" w:hAnsi="Calibri" w:cs="Calibri"/>
                <w:color w:val="000000"/>
                <w:sz w:val="18"/>
                <w:szCs w:val="18"/>
              </w:rPr>
              <w:t xml:space="preserve"> </w:t>
            </w:r>
          </w:p>
        </w:tc>
      </w:tr>
    </w:tbl>
    <w:p w14:paraId="16580DB1" w14:textId="77777777" w:rsidR="00C853C5" w:rsidRPr="00984E60" w:rsidRDefault="00C853C5" w:rsidP="00C853C5">
      <w:pPr>
        <w:pStyle w:val="Testimony"/>
        <w:widowControl/>
        <w:tabs>
          <w:tab w:val="clear" w:pos="2160"/>
          <w:tab w:val="left" w:pos="1980"/>
        </w:tabs>
        <w:spacing w:line="456" w:lineRule="auto"/>
        <w:rPr>
          <w:rFonts w:ascii="Courier New" w:hAnsi="Courier New" w:cs="Courier New"/>
        </w:rPr>
      </w:pPr>
    </w:p>
    <w:p w14:paraId="4B1201B0" w14:textId="0107E74C" w:rsidR="005A54A1" w:rsidRPr="00984E60" w:rsidRDefault="005A54A1" w:rsidP="005A54A1">
      <w:pPr>
        <w:pStyle w:val="Testimony"/>
        <w:widowControl/>
        <w:tabs>
          <w:tab w:val="clear" w:pos="2160"/>
          <w:tab w:val="left" w:pos="1980"/>
        </w:tabs>
        <w:spacing w:line="456" w:lineRule="auto"/>
        <w:rPr>
          <w:rFonts w:ascii="Courier New" w:hAnsi="Courier New" w:cs="Courier New"/>
        </w:rPr>
      </w:pPr>
      <w:r w:rsidRPr="00984E60">
        <w:rPr>
          <w:rFonts w:ascii="Courier New" w:hAnsi="Courier New" w:cs="Courier New"/>
        </w:rPr>
        <w:t>Q.</w:t>
      </w:r>
      <w:r w:rsidRPr="00984E60">
        <w:rPr>
          <w:rFonts w:ascii="Courier New" w:hAnsi="Courier New" w:cs="Courier New"/>
        </w:rPr>
        <w:tab/>
        <w:t xml:space="preserve">What is the basis for the forecast of NPSE for the </w:t>
      </w:r>
      <w:r w:rsidR="00202300">
        <w:rPr>
          <w:rFonts w:ascii="Courier New" w:hAnsi="Courier New" w:cs="Courier New"/>
        </w:rPr>
        <w:t>2023</w:t>
      </w:r>
      <w:r w:rsidRPr="00984E60">
        <w:rPr>
          <w:rFonts w:ascii="Courier New" w:hAnsi="Courier New" w:cs="Courier New"/>
        </w:rPr>
        <w:t>-</w:t>
      </w:r>
      <w:r w:rsidR="00202300">
        <w:rPr>
          <w:rFonts w:ascii="Courier New" w:hAnsi="Courier New" w:cs="Courier New"/>
        </w:rPr>
        <w:t>2024</w:t>
      </w:r>
      <w:r w:rsidRPr="00984E60">
        <w:rPr>
          <w:rFonts w:ascii="Courier New" w:hAnsi="Courier New" w:cs="Courier New"/>
        </w:rPr>
        <w:t xml:space="preserve"> PCA Year?</w:t>
      </w:r>
    </w:p>
    <w:p w14:paraId="0CD7943B" w14:textId="2DB2F6DC" w:rsidR="005A54A1" w:rsidRPr="00984E60" w:rsidRDefault="005A54A1" w:rsidP="005A54A1">
      <w:pPr>
        <w:pStyle w:val="Testimony"/>
        <w:widowControl/>
        <w:tabs>
          <w:tab w:val="clear" w:pos="2160"/>
          <w:tab w:val="left" w:pos="1980"/>
        </w:tabs>
        <w:spacing w:line="456" w:lineRule="auto"/>
        <w:rPr>
          <w:rFonts w:ascii="Courier New" w:hAnsi="Courier New" w:cs="Courier New"/>
        </w:rPr>
      </w:pPr>
      <w:r w:rsidRPr="00984E60">
        <w:rPr>
          <w:rFonts w:ascii="Courier New" w:hAnsi="Courier New" w:cs="Courier New"/>
        </w:rPr>
        <w:t>A.</w:t>
      </w:r>
      <w:r w:rsidRPr="00984E60">
        <w:rPr>
          <w:rFonts w:ascii="Courier New" w:hAnsi="Courier New" w:cs="Courier New"/>
        </w:rPr>
        <w:tab/>
        <w:t xml:space="preserve">The forecast of NPSE for the </w:t>
      </w:r>
      <w:r w:rsidR="00202300">
        <w:rPr>
          <w:rFonts w:ascii="Courier New" w:hAnsi="Courier New" w:cs="Courier New"/>
        </w:rPr>
        <w:t>2023</w:t>
      </w:r>
      <w:r w:rsidRPr="00984E60">
        <w:rPr>
          <w:rFonts w:ascii="Courier New" w:hAnsi="Courier New" w:cs="Courier New"/>
        </w:rPr>
        <w:t>-</w:t>
      </w:r>
      <w:r w:rsidR="00202300">
        <w:rPr>
          <w:rFonts w:ascii="Courier New" w:hAnsi="Courier New" w:cs="Courier New"/>
        </w:rPr>
        <w:t>2024</w:t>
      </w:r>
      <w:r w:rsidRPr="00984E60">
        <w:rPr>
          <w:rFonts w:ascii="Courier New" w:hAnsi="Courier New" w:cs="Courier New"/>
        </w:rPr>
        <w:t xml:space="preserve"> PCA Year is based on the Company’s March</w:t>
      </w:r>
      <w:r w:rsidR="001D2A49">
        <w:rPr>
          <w:rFonts w:ascii="Courier New" w:hAnsi="Courier New" w:cs="Courier New"/>
        </w:rPr>
        <w:t xml:space="preserve"> </w:t>
      </w:r>
      <w:r w:rsidR="00202300">
        <w:rPr>
          <w:rFonts w:ascii="Courier New" w:hAnsi="Courier New" w:cs="Courier New"/>
        </w:rPr>
        <w:t>2023</w:t>
      </w:r>
      <w:r w:rsidRPr="00984E60">
        <w:rPr>
          <w:rFonts w:ascii="Courier New" w:hAnsi="Courier New" w:cs="Courier New"/>
        </w:rPr>
        <w:t xml:space="preserve"> Operating Plan.</w:t>
      </w:r>
    </w:p>
    <w:p w14:paraId="455E665D" w14:textId="77777777" w:rsidR="005A54A1" w:rsidRPr="00984E60" w:rsidRDefault="005A54A1" w:rsidP="005A54A1">
      <w:pPr>
        <w:pStyle w:val="Testimony"/>
        <w:widowControl/>
        <w:tabs>
          <w:tab w:val="clear" w:pos="2160"/>
          <w:tab w:val="left" w:pos="1980"/>
        </w:tabs>
        <w:spacing w:line="456" w:lineRule="auto"/>
        <w:rPr>
          <w:rFonts w:ascii="Courier New" w:hAnsi="Courier New" w:cs="Courier New"/>
        </w:rPr>
      </w:pPr>
      <w:r w:rsidRPr="00984E60">
        <w:rPr>
          <w:rFonts w:ascii="Courier New" w:hAnsi="Courier New" w:cs="Courier New"/>
        </w:rPr>
        <w:t>Q.</w:t>
      </w:r>
      <w:r w:rsidRPr="00984E60">
        <w:rPr>
          <w:rFonts w:ascii="Courier New" w:hAnsi="Courier New" w:cs="Courier New"/>
        </w:rPr>
        <w:tab/>
        <w:t>How is the NPSE forecast developed for the Company’s Operating Plan?</w:t>
      </w:r>
    </w:p>
    <w:p w14:paraId="5189C9D6" w14:textId="4CD79E00" w:rsidR="005A54A1" w:rsidRDefault="005A54A1" w:rsidP="005A54A1">
      <w:pPr>
        <w:pStyle w:val="Testimony"/>
        <w:widowControl/>
        <w:tabs>
          <w:tab w:val="clear" w:pos="2160"/>
          <w:tab w:val="left" w:pos="1980"/>
        </w:tabs>
        <w:spacing w:line="456" w:lineRule="auto"/>
        <w:rPr>
          <w:rFonts w:ascii="Courier New" w:hAnsi="Courier New" w:cs="Courier New"/>
        </w:rPr>
      </w:pPr>
      <w:r w:rsidRPr="00984E60">
        <w:rPr>
          <w:rFonts w:ascii="Courier New" w:hAnsi="Courier New" w:cs="Courier New"/>
        </w:rPr>
        <w:t>A.</w:t>
      </w:r>
      <w:r w:rsidRPr="00984E60">
        <w:rPr>
          <w:rFonts w:ascii="Courier New" w:hAnsi="Courier New" w:cs="Courier New"/>
        </w:rPr>
        <w:tab/>
        <w:t xml:space="preserve">The Operating Plan is prepared monthly and represents a forecast of the Company’s monthly NPSE for the following 18-month period; however, for the PCA, the Company includes only the 12 months that correspond to the PCA Year.  The Operating Plan is developed by simulating the dispatch of the Company’s generation resources for each month, segmented by heavy load and light load hours.  The dispatch considers a current forecast of forward market </w:t>
      </w:r>
      <w:r w:rsidRPr="00984E60">
        <w:rPr>
          <w:rFonts w:ascii="Courier New" w:hAnsi="Courier New" w:cs="Courier New"/>
        </w:rPr>
        <w:lastRenderedPageBreak/>
        <w:t xml:space="preserve">energy prices, available hydro generation, coal and natural gas prices, and any existing hedge transactions.  The system load forecast is then analyzed against the resulting monthly heavy load and light load dispatch to determine a monthly load and resource balance.  Any identified resource deficiency is assumed to be filled with market energy purchases or natural gas to fuel the Langley Gulch power plant (“Langley Gulch”), based on economics and available generating capacity at Langley Gulch.  Economically dispatched generation above the system load forecast represents surplus energy sales.  The forecast of monthly NPSE and generation for the </w:t>
      </w:r>
      <w:r w:rsidR="00202300">
        <w:rPr>
          <w:rFonts w:ascii="Courier New" w:hAnsi="Courier New" w:cs="Courier New"/>
        </w:rPr>
        <w:t>2023</w:t>
      </w:r>
      <w:r w:rsidRPr="00984E60">
        <w:rPr>
          <w:rFonts w:ascii="Courier New" w:hAnsi="Courier New" w:cs="Courier New"/>
        </w:rPr>
        <w:t>-</w:t>
      </w:r>
      <w:r w:rsidR="00202300">
        <w:rPr>
          <w:rFonts w:ascii="Courier New" w:hAnsi="Courier New" w:cs="Courier New"/>
        </w:rPr>
        <w:t>2024</w:t>
      </w:r>
      <w:r w:rsidRPr="00984E60">
        <w:rPr>
          <w:rFonts w:ascii="Courier New" w:hAnsi="Courier New" w:cs="Courier New"/>
        </w:rPr>
        <w:t xml:space="preserve"> PCA Year, as determined in the Company</w:t>
      </w:r>
      <w:r w:rsidR="001D2A49">
        <w:rPr>
          <w:rFonts w:ascii="Courier New" w:hAnsi="Courier New" w:cs="Courier New"/>
        </w:rPr>
        <w:t>’s</w:t>
      </w:r>
      <w:r w:rsidRPr="00984E60">
        <w:rPr>
          <w:rFonts w:ascii="Courier New" w:hAnsi="Courier New" w:cs="Courier New"/>
        </w:rPr>
        <w:t xml:space="preserve"> </w:t>
      </w:r>
      <w:r w:rsidR="00823DF8">
        <w:rPr>
          <w:rFonts w:ascii="Courier New" w:hAnsi="Courier New" w:cs="Courier New"/>
        </w:rPr>
        <w:t xml:space="preserve">March </w:t>
      </w:r>
      <w:r w:rsidR="00202300">
        <w:rPr>
          <w:rFonts w:ascii="Courier New" w:hAnsi="Courier New" w:cs="Courier New"/>
        </w:rPr>
        <w:t>2023</w:t>
      </w:r>
      <w:r w:rsidRPr="00984E60">
        <w:rPr>
          <w:rFonts w:ascii="Courier New" w:hAnsi="Courier New" w:cs="Courier New"/>
        </w:rPr>
        <w:t xml:space="preserve"> Operating Plan, is provided in Exhibit No. </w:t>
      </w:r>
      <w:r w:rsidR="004D67C3">
        <w:rPr>
          <w:rFonts w:ascii="Courier New" w:hAnsi="Courier New" w:cs="Courier New"/>
        </w:rPr>
        <w:t>1</w:t>
      </w:r>
      <w:r w:rsidRPr="00984E60">
        <w:rPr>
          <w:rFonts w:ascii="Courier New" w:hAnsi="Courier New" w:cs="Courier New"/>
        </w:rPr>
        <w:t>.</w:t>
      </w:r>
    </w:p>
    <w:p w14:paraId="75F27896" w14:textId="51A2298F" w:rsidR="001B1778" w:rsidRPr="00984E60" w:rsidRDefault="001B1778" w:rsidP="001B1778">
      <w:pPr>
        <w:pStyle w:val="Testimony"/>
        <w:widowControl/>
        <w:tabs>
          <w:tab w:val="clear" w:pos="2160"/>
          <w:tab w:val="left" w:pos="1980"/>
        </w:tabs>
        <w:spacing w:line="456" w:lineRule="auto"/>
        <w:rPr>
          <w:rFonts w:ascii="Courier New" w:hAnsi="Courier New" w:cs="Courier New"/>
        </w:rPr>
      </w:pPr>
      <w:r w:rsidRPr="00984E60">
        <w:rPr>
          <w:rFonts w:ascii="Courier New" w:hAnsi="Courier New" w:cs="Courier New"/>
        </w:rPr>
        <w:t>Q.</w:t>
      </w:r>
      <w:r w:rsidRPr="00984E60">
        <w:rPr>
          <w:rFonts w:ascii="Courier New" w:hAnsi="Courier New" w:cs="Courier New"/>
        </w:rPr>
        <w:tab/>
      </w:r>
      <w:r>
        <w:rPr>
          <w:rFonts w:ascii="Courier New" w:hAnsi="Courier New" w:cs="Courier New"/>
        </w:rPr>
        <w:t xml:space="preserve">Did the Company make any adjustments to the March 2023 Operating Plan, for purposes of quantifying forecast NPSE for the 2023-2024 PCA Year?  </w:t>
      </w:r>
    </w:p>
    <w:p w14:paraId="5CD5418B" w14:textId="2E005E3C" w:rsidR="001B1778" w:rsidRDefault="001B1778" w:rsidP="001B1778">
      <w:pPr>
        <w:pStyle w:val="Testimony"/>
        <w:widowControl/>
        <w:tabs>
          <w:tab w:val="clear" w:pos="2160"/>
          <w:tab w:val="left" w:pos="1980"/>
        </w:tabs>
        <w:spacing w:line="456" w:lineRule="auto"/>
        <w:rPr>
          <w:rFonts w:ascii="Courier New" w:hAnsi="Courier New" w:cs="Courier New"/>
        </w:rPr>
      </w:pPr>
      <w:r w:rsidRPr="00984E60">
        <w:rPr>
          <w:rFonts w:ascii="Courier New" w:hAnsi="Courier New" w:cs="Courier New"/>
        </w:rPr>
        <w:t>A.</w:t>
      </w:r>
      <w:r w:rsidRPr="00984E60">
        <w:rPr>
          <w:rFonts w:ascii="Courier New" w:hAnsi="Courier New" w:cs="Courier New"/>
        </w:rPr>
        <w:tab/>
      </w:r>
      <w:r w:rsidR="00253FD9">
        <w:rPr>
          <w:rFonts w:ascii="Courier New" w:hAnsi="Courier New" w:cs="Courier New"/>
        </w:rPr>
        <w:t>Yes. Forecast NPSE in the March 2023 Operating Plan includes the addition of a new power</w:t>
      </w:r>
      <w:r w:rsidR="0069276A">
        <w:rPr>
          <w:rFonts w:ascii="Courier New" w:hAnsi="Courier New" w:cs="Courier New"/>
        </w:rPr>
        <w:t xml:space="preserve"> purchase</w:t>
      </w:r>
      <w:r w:rsidR="00253FD9">
        <w:rPr>
          <w:rFonts w:ascii="Courier New" w:hAnsi="Courier New" w:cs="Courier New"/>
        </w:rPr>
        <w:t xml:space="preserve"> agreement (“PPA”), Black Mesa Solar. For purposes of quantifying forecast NPSE for the 2023-2024 PCA Year for this filing, the Company removed the forecasted expenses associated with Black Mesa Solar, because </w:t>
      </w:r>
      <w:r w:rsidR="00253FD9" w:rsidRPr="00F35307">
        <w:rPr>
          <w:rFonts w:ascii="Courier New" w:hAnsi="Courier New" w:cs="Courier New"/>
        </w:rPr>
        <w:t>Micron Technology, Inc. (“Micron”)</w:t>
      </w:r>
      <w:r w:rsidR="00253FD9">
        <w:rPr>
          <w:rFonts w:ascii="Courier New" w:hAnsi="Courier New" w:cs="Courier New"/>
        </w:rPr>
        <w:t xml:space="preserve"> </w:t>
      </w:r>
      <w:r w:rsidR="00253FD9" w:rsidRPr="00096D5F">
        <w:rPr>
          <w:rFonts w:ascii="Courier New" w:hAnsi="Courier New" w:cs="Courier New"/>
        </w:rPr>
        <w:t>will be paying for 100 percent of Black Mesa Solar’s generation</w:t>
      </w:r>
      <w:r w:rsidR="00253FD9">
        <w:rPr>
          <w:rFonts w:ascii="Courier New" w:hAnsi="Courier New" w:cs="Courier New"/>
        </w:rPr>
        <w:t xml:space="preserve"> according to the </w:t>
      </w:r>
      <w:r w:rsidR="00253FD9">
        <w:rPr>
          <w:rFonts w:ascii="Courier New" w:hAnsi="Courier New" w:cs="Courier New"/>
        </w:rPr>
        <w:lastRenderedPageBreak/>
        <w:t xml:space="preserve">provisions of a </w:t>
      </w:r>
      <w:r w:rsidR="00253FD9" w:rsidRPr="00F35307">
        <w:rPr>
          <w:rFonts w:ascii="Courier New" w:hAnsi="Courier New" w:cs="Courier New"/>
        </w:rPr>
        <w:t>new Energy Sales Agreement (“ESA”)</w:t>
      </w:r>
      <w:r w:rsidR="00253FD9">
        <w:rPr>
          <w:rStyle w:val="FootnoteReference"/>
          <w:rFonts w:ascii="Courier New" w:hAnsi="Courier New"/>
        </w:rPr>
        <w:footnoteReference w:id="2"/>
      </w:r>
      <w:r w:rsidR="00253FD9">
        <w:rPr>
          <w:rFonts w:ascii="Courier New" w:hAnsi="Courier New" w:cs="Courier New"/>
        </w:rPr>
        <w:t xml:space="preserve"> between Idaho Power and Micron.</w:t>
      </w:r>
    </w:p>
    <w:p w14:paraId="5FB4900E" w14:textId="4EF8BFC3" w:rsidR="00253FD9" w:rsidRPr="00984E60" w:rsidRDefault="00253FD9" w:rsidP="00253FD9">
      <w:pPr>
        <w:pStyle w:val="Testimony"/>
        <w:widowControl/>
        <w:tabs>
          <w:tab w:val="clear" w:pos="2160"/>
          <w:tab w:val="left" w:pos="1980"/>
        </w:tabs>
        <w:spacing w:line="456" w:lineRule="auto"/>
        <w:rPr>
          <w:rFonts w:ascii="Courier New" w:hAnsi="Courier New" w:cs="Courier New"/>
        </w:rPr>
      </w:pPr>
      <w:r w:rsidRPr="00984E60">
        <w:rPr>
          <w:rFonts w:ascii="Courier New" w:hAnsi="Courier New" w:cs="Courier New"/>
        </w:rPr>
        <w:t>Q.</w:t>
      </w:r>
      <w:r w:rsidRPr="00984E60">
        <w:rPr>
          <w:rFonts w:ascii="Courier New" w:hAnsi="Courier New" w:cs="Courier New"/>
        </w:rPr>
        <w:tab/>
      </w:r>
      <w:r>
        <w:rPr>
          <w:rFonts w:ascii="Courier New" w:hAnsi="Courier New" w:cs="Courier New"/>
        </w:rPr>
        <w:t xml:space="preserve">Please provide more information on the Black Mesa Solar PPA and its treatment in </w:t>
      </w:r>
      <w:r w:rsidR="000A5DF7">
        <w:rPr>
          <w:rFonts w:ascii="Courier New" w:hAnsi="Courier New" w:cs="Courier New"/>
        </w:rPr>
        <w:t xml:space="preserve">the </w:t>
      </w:r>
      <w:r>
        <w:rPr>
          <w:rFonts w:ascii="Courier New" w:hAnsi="Courier New" w:cs="Courier New"/>
        </w:rPr>
        <w:t xml:space="preserve">PCA forecast.   </w:t>
      </w:r>
    </w:p>
    <w:p w14:paraId="63EB01E6" w14:textId="3294CB95" w:rsidR="00253FD9" w:rsidRDefault="00F35307" w:rsidP="00253FD9">
      <w:pPr>
        <w:pStyle w:val="Testimony"/>
        <w:widowControl/>
        <w:tabs>
          <w:tab w:val="clear" w:pos="2160"/>
          <w:tab w:val="left" w:pos="1980"/>
        </w:tabs>
        <w:spacing w:line="456" w:lineRule="auto"/>
      </w:pPr>
      <w:r w:rsidRPr="00984E60">
        <w:rPr>
          <w:rFonts w:ascii="Courier New" w:hAnsi="Courier New" w:cs="Courier New"/>
        </w:rPr>
        <w:t>A.</w:t>
      </w:r>
      <w:r w:rsidR="00253FD9" w:rsidRPr="00984E60">
        <w:rPr>
          <w:rFonts w:ascii="Courier New" w:hAnsi="Courier New" w:cs="Courier New"/>
        </w:rPr>
        <w:tab/>
      </w:r>
      <w:r w:rsidR="00253FD9" w:rsidRPr="00F35307">
        <w:rPr>
          <w:rFonts w:ascii="Courier New" w:hAnsi="Courier New" w:cs="Courier New"/>
        </w:rPr>
        <w:t>Black Mesa Solar is a 40 MW alternating current solar photovoltaic generation facility</w:t>
      </w:r>
      <w:r w:rsidR="00253FD9">
        <w:rPr>
          <w:rFonts w:ascii="Courier New" w:hAnsi="Courier New" w:cs="Courier New"/>
        </w:rPr>
        <w:t xml:space="preserve">, expected to come online in June 2023. The PPA was </w:t>
      </w:r>
      <w:r w:rsidR="00253FD9" w:rsidRPr="00F35307">
        <w:rPr>
          <w:rFonts w:ascii="Courier New" w:hAnsi="Courier New" w:cs="Courier New"/>
        </w:rPr>
        <w:t xml:space="preserve">negotiated in conjunction with </w:t>
      </w:r>
      <w:r w:rsidR="00253FD9">
        <w:rPr>
          <w:rFonts w:ascii="Courier New" w:hAnsi="Courier New" w:cs="Courier New"/>
        </w:rPr>
        <w:t>t</w:t>
      </w:r>
      <w:r w:rsidR="00253FD9" w:rsidRPr="00F35307">
        <w:rPr>
          <w:rFonts w:ascii="Courier New" w:hAnsi="Courier New" w:cs="Courier New"/>
        </w:rPr>
        <w:t>he Micron ESA</w:t>
      </w:r>
      <w:r w:rsidR="00253FD9">
        <w:rPr>
          <w:rFonts w:ascii="Courier New" w:hAnsi="Courier New" w:cs="Courier New"/>
        </w:rPr>
        <w:t>, which</w:t>
      </w:r>
      <w:r w:rsidR="00253FD9" w:rsidRPr="00F35307">
        <w:rPr>
          <w:rFonts w:ascii="Courier New" w:hAnsi="Courier New" w:cs="Courier New"/>
        </w:rPr>
        <w:t xml:space="preserve"> states that Idaho Power will procure renewable resources to assist Micron in meeting a portion of its annual energy requirements with energy generated by those resources. While the renewable resource, Black Mesa Solar in this case, will not serve Micron directly, and rather will be connected to the Company’s system, Micron will pay for all of the output through its ESA.</w:t>
      </w:r>
      <w:r w:rsidR="00253FD9" w:rsidRPr="00096D5F">
        <w:t xml:space="preserve"> </w:t>
      </w:r>
    </w:p>
    <w:p w14:paraId="49B4C8C5" w14:textId="77777777" w:rsidR="00253FD9" w:rsidRDefault="00253FD9" w:rsidP="00253FD9">
      <w:pPr>
        <w:pStyle w:val="Testimony"/>
        <w:widowControl/>
        <w:tabs>
          <w:tab w:val="clear" w:pos="2160"/>
          <w:tab w:val="left" w:pos="1980"/>
        </w:tabs>
        <w:spacing w:line="456" w:lineRule="auto"/>
        <w:rPr>
          <w:rFonts w:ascii="Courier New" w:hAnsi="Courier New" w:cs="Courier New"/>
          <w:color w:val="FF0000"/>
          <w:szCs w:val="24"/>
        </w:rPr>
      </w:pPr>
      <w:r w:rsidRPr="00096D5F">
        <w:rPr>
          <w:rFonts w:ascii="Courier New" w:hAnsi="Courier New" w:cs="Courier New"/>
        </w:rPr>
        <w:t xml:space="preserve">Because Micron will be paying for 100 percent of Black Mesa Solar’s generation, the cost of the PPA </w:t>
      </w:r>
      <w:r>
        <w:rPr>
          <w:rFonts w:ascii="Courier New" w:hAnsi="Courier New" w:cs="Courier New"/>
        </w:rPr>
        <w:t>was</w:t>
      </w:r>
      <w:r w:rsidRPr="00096D5F">
        <w:rPr>
          <w:rFonts w:ascii="Courier New" w:hAnsi="Courier New" w:cs="Courier New"/>
        </w:rPr>
        <w:t xml:space="preserve"> </w:t>
      </w:r>
      <w:r>
        <w:rPr>
          <w:rFonts w:ascii="Courier New" w:hAnsi="Courier New" w:cs="Courier New"/>
        </w:rPr>
        <w:t>removed</w:t>
      </w:r>
      <w:r w:rsidRPr="00096D5F">
        <w:rPr>
          <w:rFonts w:ascii="Courier New" w:hAnsi="Courier New" w:cs="Courier New"/>
        </w:rPr>
        <w:t xml:space="preserve"> from the Company’s calculation of</w:t>
      </w:r>
      <w:r>
        <w:rPr>
          <w:rFonts w:ascii="Courier New" w:hAnsi="Courier New" w:cs="Courier New"/>
        </w:rPr>
        <w:t xml:space="preserve"> forecast</w:t>
      </w:r>
      <w:r w:rsidRPr="00096D5F">
        <w:rPr>
          <w:rFonts w:ascii="Courier New" w:hAnsi="Courier New" w:cs="Courier New"/>
        </w:rPr>
        <w:t xml:space="preserve"> NPSE.</w:t>
      </w:r>
      <w:r>
        <w:rPr>
          <w:rFonts w:ascii="Courier New" w:hAnsi="Courier New" w:cs="Courier New"/>
        </w:rPr>
        <w:t xml:space="preserve">  As recommended by Commission Staff in Order No. 35482, the Company has provided Black Mesa Solar’s forecast generation and expenses, as well as Micron’s monthly load forecast, as Confidential Exhibit No. 4.</w:t>
      </w:r>
      <w:r>
        <w:rPr>
          <w:rFonts w:ascii="Courier New" w:hAnsi="Courier New" w:cs="Courier New"/>
          <w:color w:val="FF0000"/>
          <w:szCs w:val="24"/>
        </w:rPr>
        <w:t xml:space="preserve"> </w:t>
      </w:r>
    </w:p>
    <w:p w14:paraId="3BE2E072" w14:textId="65B346C1" w:rsidR="00253FD9" w:rsidRPr="00984E60" w:rsidRDefault="00253FD9" w:rsidP="00253FD9">
      <w:pPr>
        <w:pStyle w:val="Testimony"/>
        <w:widowControl/>
        <w:tabs>
          <w:tab w:val="clear" w:pos="2160"/>
          <w:tab w:val="left" w:pos="1980"/>
        </w:tabs>
        <w:spacing w:line="456" w:lineRule="auto"/>
        <w:rPr>
          <w:rFonts w:ascii="Courier New" w:hAnsi="Courier New" w:cs="Courier New"/>
        </w:rPr>
      </w:pPr>
      <w:r w:rsidRPr="00984E60">
        <w:rPr>
          <w:rFonts w:ascii="Courier New" w:hAnsi="Courier New" w:cs="Courier New"/>
        </w:rPr>
        <w:lastRenderedPageBreak/>
        <w:t>Q.</w:t>
      </w:r>
      <w:r w:rsidRPr="00984E60">
        <w:rPr>
          <w:rFonts w:ascii="Courier New" w:hAnsi="Courier New" w:cs="Courier New"/>
        </w:rPr>
        <w:tab/>
      </w:r>
      <w:r>
        <w:rPr>
          <w:rFonts w:ascii="Courier New" w:hAnsi="Courier New" w:cs="Courier New"/>
        </w:rPr>
        <w:t>How will the excess generation and renewable capacity credit payments, as detailed in Micron’s ESA, be incorporated into this year’s PCA filing</w:t>
      </w:r>
      <w:r w:rsidR="000A5DF7">
        <w:rPr>
          <w:rFonts w:ascii="Courier New" w:hAnsi="Courier New" w:cs="Courier New"/>
        </w:rPr>
        <w:t>?</w:t>
      </w:r>
    </w:p>
    <w:p w14:paraId="412D3F3F" w14:textId="77777777" w:rsidR="00253FD9" w:rsidRDefault="00253FD9" w:rsidP="00253FD9">
      <w:pPr>
        <w:pStyle w:val="Testimony"/>
        <w:widowControl/>
        <w:tabs>
          <w:tab w:val="clear" w:pos="2160"/>
          <w:tab w:val="left" w:pos="1980"/>
        </w:tabs>
        <w:spacing w:line="456" w:lineRule="auto"/>
        <w:rPr>
          <w:rFonts w:ascii="Courier New" w:hAnsi="Courier New" w:cs="Courier New"/>
        </w:rPr>
      </w:pPr>
      <w:r w:rsidRPr="00984E60">
        <w:rPr>
          <w:rFonts w:ascii="Courier New" w:hAnsi="Courier New" w:cs="Courier New"/>
        </w:rPr>
        <w:t>A.</w:t>
      </w:r>
      <w:r w:rsidRPr="00984E60">
        <w:rPr>
          <w:rFonts w:ascii="Courier New" w:hAnsi="Courier New" w:cs="Courier New"/>
        </w:rPr>
        <w:tab/>
      </w:r>
      <w:r>
        <w:rPr>
          <w:rFonts w:ascii="Courier New" w:hAnsi="Courier New" w:cs="Courier New"/>
        </w:rPr>
        <w:t>In the event that Black Mesa Solar’s generation exceeds Micron’s load in a given hour, the Company will compensate Micron for the excess generation according to the methodology approved by the Commission in Order No. 35482. However, for the 2023-2024 PCA year, the Company does not expect Black Mesa Solar’s generation to exceed Micron’s load in any hour. As a result, no excess generation payments are included in this year’s PCA forecast.</w:t>
      </w:r>
    </w:p>
    <w:p w14:paraId="6004903C" w14:textId="4107AB0E" w:rsidR="00583CBD" w:rsidRDefault="003D4867" w:rsidP="00583CBD">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 xml:space="preserve"> </w:t>
      </w:r>
      <w:r w:rsidR="00253FD9">
        <w:rPr>
          <w:rFonts w:ascii="Courier New" w:hAnsi="Courier New" w:cs="Courier New"/>
        </w:rPr>
        <w:t>In addition, as stated in Order No. 35482, the Company will not begin renewable capacity credit payments until July 1, 2026. As a result, no renewable capacity credit payments are included in this year’s PCA forecast.</w:t>
      </w:r>
    </w:p>
    <w:p w14:paraId="7859CC6A" w14:textId="56260B85" w:rsidR="00EA544F" w:rsidRPr="00864420" w:rsidRDefault="00022A04" w:rsidP="00864420">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Q.</w:t>
      </w:r>
      <w:r>
        <w:rPr>
          <w:rFonts w:ascii="Courier New" w:hAnsi="Courier New" w:cs="Courier New"/>
        </w:rPr>
        <w:tab/>
      </w:r>
      <w:r w:rsidR="00EA544F" w:rsidRPr="00864420">
        <w:rPr>
          <w:rFonts w:ascii="Courier New" w:hAnsi="Courier New" w:cs="Courier New"/>
        </w:rPr>
        <w:t xml:space="preserve">How does the Company’s forecast of </w:t>
      </w:r>
      <w:r w:rsidR="0077557B">
        <w:rPr>
          <w:rFonts w:ascii="Courier New" w:hAnsi="Courier New" w:cs="Courier New"/>
        </w:rPr>
        <w:t xml:space="preserve">system-level </w:t>
      </w:r>
      <w:r w:rsidR="00EA544F" w:rsidRPr="00864420">
        <w:rPr>
          <w:rFonts w:ascii="Courier New" w:hAnsi="Courier New" w:cs="Courier New"/>
        </w:rPr>
        <w:t xml:space="preserve">NPSE for the </w:t>
      </w:r>
      <w:r w:rsidR="00202300">
        <w:rPr>
          <w:rFonts w:ascii="Courier New" w:hAnsi="Courier New" w:cs="Courier New"/>
        </w:rPr>
        <w:t>2023</w:t>
      </w:r>
      <w:r w:rsidR="00D77571" w:rsidRPr="00864420">
        <w:rPr>
          <w:rFonts w:ascii="Courier New" w:hAnsi="Courier New" w:cs="Courier New"/>
        </w:rPr>
        <w:t>-</w:t>
      </w:r>
      <w:r w:rsidR="00202300">
        <w:rPr>
          <w:rFonts w:ascii="Courier New" w:hAnsi="Courier New" w:cs="Courier New"/>
        </w:rPr>
        <w:t>2024</w:t>
      </w:r>
      <w:r w:rsidR="00EA544F" w:rsidRPr="00864420">
        <w:rPr>
          <w:rFonts w:ascii="Courier New" w:hAnsi="Courier New" w:cs="Courier New"/>
        </w:rPr>
        <w:t xml:space="preserve"> PCA compare to the </w:t>
      </w:r>
      <w:r w:rsidR="0077557B">
        <w:rPr>
          <w:rFonts w:ascii="Courier New" w:hAnsi="Courier New" w:cs="Courier New"/>
        </w:rPr>
        <w:t xml:space="preserve">system-level </w:t>
      </w:r>
      <w:r w:rsidR="00EA544F" w:rsidRPr="00864420">
        <w:rPr>
          <w:rFonts w:ascii="Courier New" w:hAnsi="Courier New" w:cs="Courier New"/>
        </w:rPr>
        <w:t xml:space="preserve">forecast </w:t>
      </w:r>
      <w:r w:rsidR="0077557B">
        <w:rPr>
          <w:rFonts w:ascii="Courier New" w:hAnsi="Courier New" w:cs="Courier New"/>
        </w:rPr>
        <w:t>included in</w:t>
      </w:r>
      <w:r w:rsidR="0077557B" w:rsidRPr="00864420">
        <w:rPr>
          <w:rFonts w:ascii="Courier New" w:hAnsi="Courier New" w:cs="Courier New"/>
        </w:rPr>
        <w:t xml:space="preserve"> </w:t>
      </w:r>
      <w:r w:rsidR="00EA544F" w:rsidRPr="00864420">
        <w:rPr>
          <w:rFonts w:ascii="Courier New" w:hAnsi="Courier New" w:cs="Courier New"/>
        </w:rPr>
        <w:t>last year’s PCA?</w:t>
      </w:r>
    </w:p>
    <w:p w14:paraId="2857E53D" w14:textId="2403C9D3" w:rsidR="00450403" w:rsidRPr="00800444" w:rsidRDefault="00022A04" w:rsidP="00800444">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A.</w:t>
      </w:r>
      <w:r>
        <w:rPr>
          <w:rFonts w:ascii="Courier New" w:hAnsi="Courier New" w:cs="Courier New"/>
        </w:rPr>
        <w:tab/>
      </w:r>
      <w:r w:rsidR="00EA544F" w:rsidRPr="00864420">
        <w:rPr>
          <w:rFonts w:ascii="Courier New" w:hAnsi="Courier New" w:cs="Courier New"/>
        </w:rPr>
        <w:t>T</w:t>
      </w:r>
      <w:r w:rsidR="00D77571" w:rsidRPr="00864420">
        <w:rPr>
          <w:rFonts w:ascii="Courier New" w:hAnsi="Courier New" w:cs="Courier New"/>
        </w:rPr>
        <w:t xml:space="preserve">able </w:t>
      </w:r>
      <w:r w:rsidR="00AD20E1">
        <w:rPr>
          <w:rFonts w:ascii="Courier New" w:hAnsi="Courier New" w:cs="Courier New"/>
        </w:rPr>
        <w:t>3</w:t>
      </w:r>
      <w:r w:rsidR="00D77571" w:rsidRPr="00864420">
        <w:rPr>
          <w:rFonts w:ascii="Courier New" w:hAnsi="Courier New" w:cs="Courier New"/>
        </w:rPr>
        <w:t xml:space="preserve"> </w:t>
      </w:r>
      <w:r w:rsidR="00F928E0">
        <w:rPr>
          <w:rFonts w:ascii="Courier New" w:hAnsi="Courier New" w:cs="Courier New"/>
        </w:rPr>
        <w:t xml:space="preserve">below </w:t>
      </w:r>
      <w:r w:rsidR="00D77571" w:rsidRPr="00864420">
        <w:rPr>
          <w:rFonts w:ascii="Courier New" w:hAnsi="Courier New" w:cs="Courier New"/>
        </w:rPr>
        <w:t xml:space="preserve">compares this year’s </w:t>
      </w:r>
      <w:r w:rsidR="00202300">
        <w:rPr>
          <w:rFonts w:ascii="Courier New" w:hAnsi="Courier New" w:cs="Courier New"/>
        </w:rPr>
        <w:t>2023</w:t>
      </w:r>
      <w:r w:rsidR="00D77571" w:rsidRPr="00864420">
        <w:rPr>
          <w:rFonts w:ascii="Courier New" w:hAnsi="Courier New" w:cs="Courier New"/>
        </w:rPr>
        <w:t>-</w:t>
      </w:r>
      <w:r w:rsidR="00202300">
        <w:rPr>
          <w:rFonts w:ascii="Courier New" w:hAnsi="Courier New" w:cs="Courier New"/>
        </w:rPr>
        <w:t>2024</w:t>
      </w:r>
      <w:r w:rsidR="00EA544F" w:rsidRPr="00864420">
        <w:rPr>
          <w:rFonts w:ascii="Courier New" w:hAnsi="Courier New" w:cs="Courier New"/>
        </w:rPr>
        <w:t xml:space="preserve"> </w:t>
      </w:r>
      <w:r w:rsidR="004F66C7">
        <w:rPr>
          <w:rFonts w:ascii="Courier New" w:hAnsi="Courier New" w:cs="Courier New"/>
        </w:rPr>
        <w:t>PCA forecast</w:t>
      </w:r>
      <w:r w:rsidR="00EA544F" w:rsidRPr="00864420">
        <w:rPr>
          <w:rFonts w:ascii="Courier New" w:hAnsi="Courier New" w:cs="Courier New"/>
        </w:rPr>
        <w:t xml:space="preserve"> </w:t>
      </w:r>
      <w:r w:rsidR="00D129AF">
        <w:rPr>
          <w:rFonts w:ascii="Courier New" w:hAnsi="Courier New" w:cs="Courier New"/>
        </w:rPr>
        <w:t xml:space="preserve">of </w:t>
      </w:r>
      <w:r w:rsidR="00E62F54">
        <w:rPr>
          <w:rFonts w:ascii="Courier New" w:hAnsi="Courier New" w:cs="Courier New"/>
        </w:rPr>
        <w:t xml:space="preserve">NPSE </w:t>
      </w:r>
      <w:r w:rsidR="00EA544F" w:rsidRPr="00864420">
        <w:rPr>
          <w:rFonts w:ascii="Courier New" w:hAnsi="Courier New" w:cs="Courier New"/>
        </w:rPr>
        <w:t xml:space="preserve">to last year’s </w:t>
      </w:r>
      <w:r w:rsidR="004F66C7">
        <w:rPr>
          <w:rFonts w:ascii="Courier New" w:hAnsi="Courier New" w:cs="Courier New"/>
        </w:rPr>
        <w:t>PCA forecast</w:t>
      </w:r>
      <w:r w:rsidR="00EA544F" w:rsidRPr="00864420">
        <w:rPr>
          <w:rFonts w:ascii="Courier New" w:hAnsi="Courier New" w:cs="Courier New"/>
        </w:rPr>
        <w:t xml:space="preserve"> </w:t>
      </w:r>
      <w:r w:rsidR="00430154" w:rsidRPr="00864420">
        <w:rPr>
          <w:rFonts w:ascii="Courier New" w:hAnsi="Courier New" w:cs="Courier New"/>
        </w:rPr>
        <w:t>by FERC account</w:t>
      </w:r>
      <w:r w:rsidR="00EA544F" w:rsidRPr="00864420">
        <w:rPr>
          <w:rFonts w:ascii="Courier New" w:hAnsi="Courier New" w:cs="Courier New"/>
        </w:rPr>
        <w:t>.</w:t>
      </w:r>
      <w:r w:rsidR="003C34F6" w:rsidRPr="00864420">
        <w:rPr>
          <w:rFonts w:ascii="Courier New" w:hAnsi="Courier New" w:cs="Courier New"/>
        </w:rPr>
        <w:t xml:space="preserve"> </w:t>
      </w:r>
      <w:r w:rsidR="00EA544F" w:rsidRPr="00864420">
        <w:rPr>
          <w:rFonts w:ascii="Courier New" w:hAnsi="Courier New" w:cs="Courier New"/>
        </w:rPr>
        <w:t xml:space="preserve">As detailed in this table, the </w:t>
      </w:r>
      <w:r w:rsidR="004F66C7">
        <w:rPr>
          <w:rFonts w:ascii="Courier New" w:hAnsi="Courier New" w:cs="Courier New"/>
        </w:rPr>
        <w:t>PCA forecast</w:t>
      </w:r>
      <w:r w:rsidR="00EA544F" w:rsidRPr="00864420">
        <w:rPr>
          <w:rFonts w:ascii="Courier New" w:hAnsi="Courier New" w:cs="Courier New"/>
        </w:rPr>
        <w:t xml:space="preserve"> on a total system basis for the </w:t>
      </w:r>
      <w:r w:rsidR="00202300">
        <w:rPr>
          <w:rFonts w:ascii="Courier New" w:hAnsi="Courier New" w:cs="Courier New"/>
        </w:rPr>
        <w:t>2023</w:t>
      </w:r>
      <w:r w:rsidR="00D77571" w:rsidRPr="00864420">
        <w:rPr>
          <w:rFonts w:ascii="Courier New" w:hAnsi="Courier New" w:cs="Courier New"/>
        </w:rPr>
        <w:t>-</w:t>
      </w:r>
      <w:r w:rsidR="00202300">
        <w:rPr>
          <w:rFonts w:ascii="Courier New" w:hAnsi="Courier New" w:cs="Courier New"/>
        </w:rPr>
        <w:t>2024</w:t>
      </w:r>
      <w:r w:rsidR="00EA544F" w:rsidRPr="00864420">
        <w:rPr>
          <w:rFonts w:ascii="Courier New" w:hAnsi="Courier New" w:cs="Courier New"/>
        </w:rPr>
        <w:t xml:space="preserve"> PCA </w:t>
      </w:r>
      <w:r w:rsidR="00823DF8">
        <w:rPr>
          <w:rFonts w:ascii="Courier New" w:hAnsi="Courier New" w:cs="Courier New"/>
        </w:rPr>
        <w:t>y</w:t>
      </w:r>
      <w:r w:rsidR="00EA544F" w:rsidRPr="00864420">
        <w:rPr>
          <w:rFonts w:ascii="Courier New" w:hAnsi="Courier New" w:cs="Courier New"/>
        </w:rPr>
        <w:t>ear is $</w:t>
      </w:r>
      <w:r w:rsidR="001B7135">
        <w:rPr>
          <w:rFonts w:ascii="Courier New" w:hAnsi="Courier New" w:cs="Courier New"/>
        </w:rPr>
        <w:t>541,49</w:t>
      </w:r>
      <w:r w:rsidR="00CC3CB9">
        <w:rPr>
          <w:rFonts w:ascii="Courier New" w:hAnsi="Courier New" w:cs="Courier New"/>
        </w:rPr>
        <w:t>9</w:t>
      </w:r>
      <w:r w:rsidR="001B7135">
        <w:rPr>
          <w:rFonts w:ascii="Courier New" w:hAnsi="Courier New" w:cs="Courier New"/>
        </w:rPr>
        <w:t>,</w:t>
      </w:r>
      <w:r w:rsidR="00CC3CB9">
        <w:rPr>
          <w:rFonts w:ascii="Courier New" w:hAnsi="Courier New" w:cs="Courier New"/>
        </w:rPr>
        <w:t>384</w:t>
      </w:r>
      <w:r w:rsidR="00EA544F" w:rsidRPr="00864420">
        <w:rPr>
          <w:rFonts w:ascii="Courier New" w:hAnsi="Courier New" w:cs="Courier New"/>
        </w:rPr>
        <w:t>, which is $</w:t>
      </w:r>
      <w:r w:rsidR="005A54A1">
        <w:rPr>
          <w:rFonts w:ascii="Courier New" w:hAnsi="Courier New" w:cs="Courier New"/>
        </w:rPr>
        <w:t>5</w:t>
      </w:r>
      <w:r w:rsidR="00CC3CB9">
        <w:rPr>
          <w:rFonts w:ascii="Courier New" w:hAnsi="Courier New" w:cs="Courier New"/>
        </w:rPr>
        <w:t>2</w:t>
      </w:r>
      <w:r w:rsidR="00111C0D">
        <w:rPr>
          <w:rFonts w:ascii="Courier New" w:hAnsi="Courier New" w:cs="Courier New"/>
        </w:rPr>
        <w:t>,</w:t>
      </w:r>
      <w:r w:rsidR="00CC3CB9">
        <w:rPr>
          <w:rFonts w:ascii="Courier New" w:hAnsi="Courier New" w:cs="Courier New"/>
        </w:rPr>
        <w:t>004</w:t>
      </w:r>
      <w:r w:rsidR="00111C0D">
        <w:rPr>
          <w:rFonts w:ascii="Courier New" w:hAnsi="Courier New" w:cs="Courier New"/>
        </w:rPr>
        <w:t>,</w:t>
      </w:r>
      <w:r w:rsidR="00CC3CB9">
        <w:rPr>
          <w:rFonts w:ascii="Courier New" w:hAnsi="Courier New" w:cs="Courier New"/>
        </w:rPr>
        <w:t>084</w:t>
      </w:r>
      <w:r w:rsidR="00EA544F" w:rsidRPr="00864420">
        <w:rPr>
          <w:rFonts w:ascii="Courier New" w:hAnsi="Courier New" w:cs="Courier New"/>
        </w:rPr>
        <w:t xml:space="preserve"> </w:t>
      </w:r>
      <w:r w:rsidR="00111C0D">
        <w:rPr>
          <w:rFonts w:ascii="Courier New" w:hAnsi="Courier New" w:cs="Courier New"/>
        </w:rPr>
        <w:t>higher</w:t>
      </w:r>
      <w:r w:rsidR="00EA544F" w:rsidRPr="00864420">
        <w:rPr>
          <w:rFonts w:ascii="Courier New" w:hAnsi="Courier New" w:cs="Courier New"/>
        </w:rPr>
        <w:t xml:space="preserve"> than last year’s forecast amount of </w:t>
      </w:r>
      <w:r w:rsidR="005A54A1" w:rsidRPr="00864420">
        <w:rPr>
          <w:rFonts w:ascii="Courier New" w:hAnsi="Courier New" w:cs="Courier New"/>
        </w:rPr>
        <w:t>$</w:t>
      </w:r>
      <w:r w:rsidR="001B7135">
        <w:rPr>
          <w:rFonts w:ascii="Courier New" w:hAnsi="Courier New" w:cs="Courier New"/>
        </w:rPr>
        <w:t>489,495,300</w:t>
      </w:r>
      <w:r w:rsidR="00EA544F" w:rsidRPr="00864420">
        <w:rPr>
          <w:rFonts w:ascii="Courier New" w:hAnsi="Courier New" w:cs="Courier New"/>
        </w:rPr>
        <w:t xml:space="preserve">. </w:t>
      </w:r>
    </w:p>
    <w:tbl>
      <w:tblPr>
        <w:tblW w:w="9460" w:type="dxa"/>
        <w:jc w:val="center"/>
        <w:tblLook w:val="04A0" w:firstRow="1" w:lastRow="0" w:firstColumn="1" w:lastColumn="0" w:noHBand="0" w:noVBand="1"/>
      </w:tblPr>
      <w:tblGrid>
        <w:gridCol w:w="840"/>
        <w:gridCol w:w="3552"/>
        <w:gridCol w:w="1816"/>
        <w:gridCol w:w="1615"/>
        <w:gridCol w:w="1637"/>
      </w:tblGrid>
      <w:tr w:rsidR="00D30A89" w:rsidRPr="001B7135" w14:paraId="6AEC7DAF" w14:textId="77777777" w:rsidTr="00175DA0">
        <w:trPr>
          <w:trHeight w:val="30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87C77" w14:textId="77777777" w:rsidR="00D30A89" w:rsidRPr="001B7135" w:rsidRDefault="00D30A89" w:rsidP="00D30A89">
            <w:pPr>
              <w:rPr>
                <w:rFonts w:ascii="Calibri" w:hAnsi="Calibri" w:cs="Calibri"/>
                <w:b/>
                <w:bCs/>
                <w:color w:val="000000"/>
                <w:sz w:val="18"/>
                <w:szCs w:val="18"/>
              </w:rPr>
            </w:pPr>
            <w:r w:rsidRPr="001B7135">
              <w:rPr>
                <w:rFonts w:ascii="Calibri" w:hAnsi="Calibri" w:cs="Calibri"/>
                <w:b/>
                <w:bCs/>
                <w:color w:val="000000"/>
                <w:sz w:val="18"/>
                <w:szCs w:val="18"/>
              </w:rPr>
              <w:lastRenderedPageBreak/>
              <w:t>Table 3</w:t>
            </w:r>
          </w:p>
        </w:tc>
        <w:tc>
          <w:tcPr>
            <w:tcW w:w="862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69B9D41" w14:textId="77777777" w:rsidR="00D30A89" w:rsidRPr="001B7135" w:rsidRDefault="00D30A89" w:rsidP="00D30A89">
            <w:pPr>
              <w:jc w:val="center"/>
              <w:rPr>
                <w:rFonts w:ascii="Calibri" w:hAnsi="Calibri" w:cs="Calibri"/>
                <w:b/>
                <w:bCs/>
                <w:color w:val="000000"/>
                <w:sz w:val="18"/>
                <w:szCs w:val="18"/>
              </w:rPr>
            </w:pPr>
            <w:r w:rsidRPr="001B7135">
              <w:rPr>
                <w:rFonts w:ascii="Calibri" w:hAnsi="Calibri" w:cs="Calibri"/>
                <w:b/>
                <w:bCs/>
                <w:color w:val="000000"/>
                <w:sz w:val="18"/>
                <w:szCs w:val="18"/>
              </w:rPr>
              <w:t>PCA Forecast Comparison Expenses  (Total System)</w:t>
            </w:r>
          </w:p>
        </w:tc>
      </w:tr>
      <w:tr w:rsidR="00D30A89" w:rsidRPr="001B7135" w14:paraId="23393A84" w14:textId="77777777" w:rsidTr="00175DA0">
        <w:trPr>
          <w:trHeight w:val="300"/>
          <w:jc w:val="center"/>
        </w:trPr>
        <w:tc>
          <w:tcPr>
            <w:tcW w:w="840" w:type="dxa"/>
            <w:tcBorders>
              <w:top w:val="nil"/>
              <w:left w:val="single" w:sz="4" w:space="0" w:color="auto"/>
              <w:bottom w:val="nil"/>
              <w:right w:val="single" w:sz="4" w:space="0" w:color="auto"/>
            </w:tcBorders>
            <w:shd w:val="clear" w:color="auto" w:fill="auto"/>
            <w:noWrap/>
            <w:vAlign w:val="bottom"/>
            <w:hideMark/>
          </w:tcPr>
          <w:p w14:paraId="0D9E8FD3" w14:textId="77777777" w:rsidR="00D30A89" w:rsidRPr="001B7135" w:rsidRDefault="00D30A89" w:rsidP="00D30A89">
            <w:pPr>
              <w:rPr>
                <w:rFonts w:ascii="Calibri" w:hAnsi="Calibri" w:cs="Calibri"/>
                <w:color w:val="000000"/>
                <w:sz w:val="18"/>
                <w:szCs w:val="18"/>
              </w:rPr>
            </w:pPr>
            <w:r w:rsidRPr="001B7135">
              <w:rPr>
                <w:rFonts w:ascii="Calibri" w:hAnsi="Calibri" w:cs="Calibri"/>
                <w:color w:val="000000"/>
                <w:sz w:val="18"/>
                <w:szCs w:val="18"/>
              </w:rPr>
              <w:t> </w:t>
            </w:r>
          </w:p>
        </w:tc>
        <w:tc>
          <w:tcPr>
            <w:tcW w:w="3552" w:type="dxa"/>
            <w:tcBorders>
              <w:top w:val="nil"/>
              <w:left w:val="nil"/>
              <w:bottom w:val="nil"/>
              <w:right w:val="nil"/>
            </w:tcBorders>
            <w:shd w:val="clear" w:color="auto" w:fill="auto"/>
            <w:noWrap/>
            <w:vAlign w:val="bottom"/>
            <w:hideMark/>
          </w:tcPr>
          <w:p w14:paraId="17003ED6" w14:textId="77777777" w:rsidR="00D30A89" w:rsidRPr="001B7135" w:rsidRDefault="00D30A89" w:rsidP="00D30A89">
            <w:pPr>
              <w:rPr>
                <w:rFonts w:ascii="Calibri" w:hAnsi="Calibri" w:cs="Calibri"/>
                <w:color w:val="000000"/>
                <w:sz w:val="18"/>
                <w:szCs w:val="18"/>
              </w:rPr>
            </w:pPr>
            <w:r w:rsidRPr="001B7135">
              <w:rPr>
                <w:rFonts w:ascii="Calibri" w:hAnsi="Calibri" w:cs="Calibri"/>
                <w:color w:val="000000"/>
                <w:sz w:val="18"/>
                <w:szCs w:val="18"/>
              </w:rPr>
              <w:t> </w:t>
            </w:r>
          </w:p>
        </w:tc>
        <w:tc>
          <w:tcPr>
            <w:tcW w:w="1816" w:type="dxa"/>
            <w:tcBorders>
              <w:top w:val="nil"/>
              <w:left w:val="nil"/>
              <w:bottom w:val="nil"/>
              <w:right w:val="nil"/>
            </w:tcBorders>
            <w:shd w:val="clear" w:color="auto" w:fill="auto"/>
            <w:noWrap/>
            <w:vAlign w:val="bottom"/>
            <w:hideMark/>
          </w:tcPr>
          <w:p w14:paraId="7F775F85" w14:textId="77777777" w:rsidR="00D30A89" w:rsidRPr="001B7135" w:rsidRDefault="00D30A89" w:rsidP="00D30A89">
            <w:pPr>
              <w:rPr>
                <w:rFonts w:ascii="Calibri" w:hAnsi="Calibri" w:cs="Calibri"/>
                <w:color w:val="000000"/>
                <w:sz w:val="18"/>
                <w:szCs w:val="18"/>
              </w:rPr>
            </w:pPr>
          </w:p>
        </w:tc>
        <w:tc>
          <w:tcPr>
            <w:tcW w:w="1615" w:type="dxa"/>
            <w:tcBorders>
              <w:top w:val="nil"/>
              <w:left w:val="nil"/>
              <w:bottom w:val="nil"/>
              <w:right w:val="nil"/>
            </w:tcBorders>
            <w:shd w:val="clear" w:color="auto" w:fill="auto"/>
            <w:noWrap/>
            <w:vAlign w:val="bottom"/>
            <w:hideMark/>
          </w:tcPr>
          <w:p w14:paraId="219871F8" w14:textId="77777777" w:rsidR="00D30A89" w:rsidRPr="001B7135" w:rsidRDefault="00D30A89" w:rsidP="00D30A89">
            <w:pPr>
              <w:rPr>
                <w:rFonts w:ascii="Times New Roman" w:hAnsi="Times New Roman"/>
                <w:sz w:val="18"/>
                <w:szCs w:val="18"/>
              </w:rPr>
            </w:pPr>
          </w:p>
        </w:tc>
        <w:tc>
          <w:tcPr>
            <w:tcW w:w="1637" w:type="dxa"/>
            <w:tcBorders>
              <w:top w:val="nil"/>
              <w:left w:val="nil"/>
              <w:bottom w:val="nil"/>
              <w:right w:val="single" w:sz="4" w:space="0" w:color="auto"/>
            </w:tcBorders>
            <w:shd w:val="clear" w:color="auto" w:fill="auto"/>
            <w:noWrap/>
            <w:vAlign w:val="bottom"/>
            <w:hideMark/>
          </w:tcPr>
          <w:p w14:paraId="70590C49" w14:textId="77777777" w:rsidR="00D30A89" w:rsidRPr="001B7135" w:rsidRDefault="00D30A89" w:rsidP="00D30A89">
            <w:pPr>
              <w:rPr>
                <w:rFonts w:ascii="Calibri" w:hAnsi="Calibri" w:cs="Calibri"/>
                <w:color w:val="000000"/>
                <w:sz w:val="18"/>
                <w:szCs w:val="18"/>
              </w:rPr>
            </w:pPr>
            <w:r w:rsidRPr="001B7135">
              <w:rPr>
                <w:rFonts w:ascii="Calibri" w:hAnsi="Calibri" w:cs="Calibri"/>
                <w:color w:val="000000"/>
                <w:sz w:val="18"/>
                <w:szCs w:val="18"/>
              </w:rPr>
              <w:t> </w:t>
            </w:r>
          </w:p>
        </w:tc>
      </w:tr>
      <w:tr w:rsidR="00D30A89" w:rsidRPr="001B7135" w14:paraId="0C72DAAC" w14:textId="77777777" w:rsidTr="00175DA0">
        <w:trPr>
          <w:trHeight w:val="49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6586A64E" w14:textId="77777777" w:rsidR="00D30A89" w:rsidRPr="001B7135" w:rsidRDefault="00D30A89" w:rsidP="00D30A89">
            <w:pPr>
              <w:rPr>
                <w:rFonts w:ascii="Calibri" w:hAnsi="Calibri" w:cs="Calibri"/>
                <w:b/>
                <w:bCs/>
                <w:color w:val="000000"/>
                <w:sz w:val="18"/>
                <w:szCs w:val="18"/>
              </w:rPr>
            </w:pPr>
            <w:r w:rsidRPr="001B7135">
              <w:rPr>
                <w:rFonts w:ascii="Calibri" w:hAnsi="Calibri" w:cs="Calibri"/>
                <w:b/>
                <w:bCs/>
                <w:color w:val="000000"/>
                <w:sz w:val="18"/>
                <w:szCs w:val="18"/>
              </w:rPr>
              <w:t>Line No.</w:t>
            </w:r>
          </w:p>
        </w:tc>
        <w:tc>
          <w:tcPr>
            <w:tcW w:w="3552" w:type="dxa"/>
            <w:tcBorders>
              <w:top w:val="nil"/>
              <w:left w:val="nil"/>
              <w:bottom w:val="single" w:sz="4" w:space="0" w:color="auto"/>
              <w:right w:val="nil"/>
            </w:tcBorders>
            <w:shd w:val="clear" w:color="auto" w:fill="auto"/>
            <w:noWrap/>
            <w:vAlign w:val="bottom"/>
            <w:hideMark/>
          </w:tcPr>
          <w:p w14:paraId="79A6DBB2" w14:textId="77777777" w:rsidR="00D30A89" w:rsidRPr="001B7135" w:rsidRDefault="00D30A89" w:rsidP="00D30A89">
            <w:pPr>
              <w:jc w:val="center"/>
              <w:rPr>
                <w:rFonts w:ascii="Calibri" w:hAnsi="Calibri" w:cs="Calibri"/>
                <w:b/>
                <w:bCs/>
                <w:color w:val="000000"/>
                <w:sz w:val="18"/>
                <w:szCs w:val="18"/>
              </w:rPr>
            </w:pPr>
            <w:r w:rsidRPr="001B7135">
              <w:rPr>
                <w:rFonts w:ascii="Calibri" w:hAnsi="Calibri" w:cs="Calibri"/>
                <w:b/>
                <w:bCs/>
                <w:color w:val="000000"/>
                <w:sz w:val="18"/>
                <w:szCs w:val="18"/>
              </w:rPr>
              <w:t>FERC Account</w:t>
            </w:r>
          </w:p>
        </w:tc>
        <w:tc>
          <w:tcPr>
            <w:tcW w:w="1816" w:type="dxa"/>
            <w:tcBorders>
              <w:top w:val="nil"/>
              <w:left w:val="nil"/>
              <w:bottom w:val="single" w:sz="4" w:space="0" w:color="auto"/>
              <w:right w:val="nil"/>
            </w:tcBorders>
            <w:shd w:val="clear" w:color="auto" w:fill="auto"/>
            <w:vAlign w:val="bottom"/>
            <w:hideMark/>
          </w:tcPr>
          <w:p w14:paraId="114721F2" w14:textId="5A8C99D5" w:rsidR="00D30A89" w:rsidRPr="001B7135" w:rsidRDefault="00202300" w:rsidP="00D30A89">
            <w:pPr>
              <w:jc w:val="center"/>
              <w:rPr>
                <w:rFonts w:ascii="Calibri" w:hAnsi="Calibri" w:cs="Calibri"/>
                <w:b/>
                <w:bCs/>
                <w:color w:val="000000"/>
                <w:sz w:val="18"/>
                <w:szCs w:val="18"/>
              </w:rPr>
            </w:pPr>
            <w:r w:rsidRPr="001B7135">
              <w:rPr>
                <w:rFonts w:ascii="Calibri" w:hAnsi="Calibri" w:cs="Calibri"/>
                <w:b/>
                <w:bCs/>
                <w:color w:val="000000"/>
                <w:sz w:val="18"/>
                <w:szCs w:val="18"/>
              </w:rPr>
              <w:t>2022</w:t>
            </w:r>
            <w:r w:rsidR="00D30A89" w:rsidRPr="001B7135">
              <w:rPr>
                <w:rFonts w:ascii="Calibri" w:hAnsi="Calibri" w:cs="Calibri"/>
                <w:b/>
                <w:bCs/>
                <w:color w:val="000000"/>
                <w:sz w:val="18"/>
                <w:szCs w:val="18"/>
              </w:rPr>
              <w:t>-</w:t>
            </w:r>
            <w:r w:rsidRPr="001B7135">
              <w:rPr>
                <w:rFonts w:ascii="Calibri" w:hAnsi="Calibri" w:cs="Calibri"/>
                <w:b/>
                <w:bCs/>
                <w:color w:val="000000"/>
                <w:sz w:val="18"/>
                <w:szCs w:val="18"/>
              </w:rPr>
              <w:t>2023</w:t>
            </w:r>
            <w:r w:rsidR="00D30A89" w:rsidRPr="001B7135">
              <w:rPr>
                <w:rFonts w:ascii="Calibri" w:hAnsi="Calibri" w:cs="Calibri"/>
                <w:b/>
                <w:bCs/>
                <w:color w:val="000000"/>
                <w:sz w:val="18"/>
                <w:szCs w:val="18"/>
              </w:rPr>
              <w:t xml:space="preserve">     Forecast</w:t>
            </w:r>
          </w:p>
        </w:tc>
        <w:tc>
          <w:tcPr>
            <w:tcW w:w="1615" w:type="dxa"/>
            <w:tcBorders>
              <w:top w:val="nil"/>
              <w:left w:val="nil"/>
              <w:bottom w:val="single" w:sz="4" w:space="0" w:color="auto"/>
              <w:right w:val="nil"/>
            </w:tcBorders>
            <w:shd w:val="clear" w:color="auto" w:fill="auto"/>
            <w:vAlign w:val="bottom"/>
            <w:hideMark/>
          </w:tcPr>
          <w:p w14:paraId="70EDF224" w14:textId="50D39047" w:rsidR="00D30A89" w:rsidRPr="001B7135" w:rsidRDefault="00202300" w:rsidP="00D30A89">
            <w:pPr>
              <w:jc w:val="center"/>
              <w:rPr>
                <w:rFonts w:ascii="Calibri" w:hAnsi="Calibri" w:cs="Calibri"/>
                <w:b/>
                <w:bCs/>
                <w:color w:val="000000"/>
                <w:sz w:val="18"/>
                <w:szCs w:val="18"/>
              </w:rPr>
            </w:pPr>
            <w:r w:rsidRPr="001B7135">
              <w:rPr>
                <w:rFonts w:ascii="Calibri" w:hAnsi="Calibri" w:cs="Calibri"/>
                <w:b/>
                <w:bCs/>
                <w:color w:val="000000"/>
                <w:sz w:val="18"/>
                <w:szCs w:val="18"/>
              </w:rPr>
              <w:t>2023</w:t>
            </w:r>
            <w:r w:rsidR="00D30A89" w:rsidRPr="001B7135">
              <w:rPr>
                <w:rFonts w:ascii="Calibri" w:hAnsi="Calibri" w:cs="Calibri"/>
                <w:b/>
                <w:bCs/>
                <w:color w:val="000000"/>
                <w:sz w:val="18"/>
                <w:szCs w:val="18"/>
              </w:rPr>
              <w:t>-</w:t>
            </w:r>
            <w:r w:rsidRPr="001B7135">
              <w:rPr>
                <w:rFonts w:ascii="Calibri" w:hAnsi="Calibri" w:cs="Calibri"/>
                <w:b/>
                <w:bCs/>
                <w:color w:val="000000"/>
                <w:sz w:val="18"/>
                <w:szCs w:val="18"/>
              </w:rPr>
              <w:t>2024</w:t>
            </w:r>
            <w:r w:rsidR="00D30A89" w:rsidRPr="001B7135">
              <w:rPr>
                <w:rFonts w:ascii="Calibri" w:hAnsi="Calibri" w:cs="Calibri"/>
                <w:b/>
                <w:bCs/>
                <w:color w:val="000000"/>
                <w:sz w:val="18"/>
                <w:szCs w:val="18"/>
              </w:rPr>
              <w:t xml:space="preserve"> Forecast</w:t>
            </w:r>
          </w:p>
        </w:tc>
        <w:tc>
          <w:tcPr>
            <w:tcW w:w="1637" w:type="dxa"/>
            <w:tcBorders>
              <w:top w:val="nil"/>
              <w:left w:val="nil"/>
              <w:bottom w:val="single" w:sz="4" w:space="0" w:color="auto"/>
              <w:right w:val="single" w:sz="4" w:space="0" w:color="auto"/>
            </w:tcBorders>
            <w:shd w:val="clear" w:color="auto" w:fill="auto"/>
            <w:vAlign w:val="bottom"/>
            <w:hideMark/>
          </w:tcPr>
          <w:p w14:paraId="736F35E0" w14:textId="77777777" w:rsidR="00D30A89" w:rsidRPr="001B7135" w:rsidRDefault="00D30A89" w:rsidP="00D30A89">
            <w:pPr>
              <w:jc w:val="center"/>
              <w:rPr>
                <w:rFonts w:ascii="Calibri" w:hAnsi="Calibri" w:cs="Calibri"/>
                <w:b/>
                <w:bCs/>
                <w:color w:val="000000"/>
                <w:sz w:val="18"/>
                <w:szCs w:val="18"/>
              </w:rPr>
            </w:pPr>
            <w:r w:rsidRPr="001B7135">
              <w:rPr>
                <w:rFonts w:ascii="Calibri" w:hAnsi="Calibri" w:cs="Calibri"/>
                <w:b/>
                <w:bCs/>
                <w:color w:val="000000"/>
                <w:sz w:val="18"/>
                <w:szCs w:val="18"/>
              </w:rPr>
              <w:t>Difference</w:t>
            </w:r>
          </w:p>
        </w:tc>
      </w:tr>
      <w:tr w:rsidR="00D30A89" w:rsidRPr="001B7135" w14:paraId="3A2D2C4A" w14:textId="77777777" w:rsidTr="00175DA0">
        <w:trPr>
          <w:trHeight w:val="300"/>
          <w:jc w:val="center"/>
        </w:trPr>
        <w:tc>
          <w:tcPr>
            <w:tcW w:w="840" w:type="dxa"/>
            <w:tcBorders>
              <w:top w:val="nil"/>
              <w:left w:val="single" w:sz="4" w:space="0" w:color="auto"/>
              <w:bottom w:val="nil"/>
              <w:right w:val="single" w:sz="4" w:space="0" w:color="auto"/>
            </w:tcBorders>
            <w:shd w:val="clear" w:color="auto" w:fill="auto"/>
            <w:noWrap/>
            <w:vAlign w:val="bottom"/>
            <w:hideMark/>
          </w:tcPr>
          <w:p w14:paraId="2D3BBB8C" w14:textId="77777777" w:rsidR="00D30A89" w:rsidRPr="001B7135" w:rsidRDefault="00D30A89" w:rsidP="00D30A89">
            <w:pPr>
              <w:rPr>
                <w:rFonts w:ascii="Calibri" w:hAnsi="Calibri" w:cs="Calibri"/>
                <w:color w:val="000000"/>
                <w:sz w:val="18"/>
                <w:szCs w:val="18"/>
              </w:rPr>
            </w:pPr>
            <w:r w:rsidRPr="001B7135">
              <w:rPr>
                <w:rFonts w:ascii="Calibri" w:hAnsi="Calibri" w:cs="Calibri"/>
                <w:color w:val="000000"/>
                <w:sz w:val="18"/>
                <w:szCs w:val="18"/>
              </w:rPr>
              <w:t> </w:t>
            </w:r>
          </w:p>
        </w:tc>
        <w:tc>
          <w:tcPr>
            <w:tcW w:w="3552" w:type="dxa"/>
            <w:tcBorders>
              <w:top w:val="nil"/>
              <w:left w:val="nil"/>
              <w:bottom w:val="nil"/>
              <w:right w:val="nil"/>
            </w:tcBorders>
            <w:shd w:val="clear" w:color="auto" w:fill="auto"/>
            <w:noWrap/>
            <w:vAlign w:val="bottom"/>
            <w:hideMark/>
          </w:tcPr>
          <w:p w14:paraId="6796B323" w14:textId="77777777" w:rsidR="00D30A89" w:rsidRPr="001B7135" w:rsidRDefault="00D30A89" w:rsidP="00D30A89">
            <w:pPr>
              <w:rPr>
                <w:rFonts w:ascii="Calibri" w:hAnsi="Calibri" w:cs="Calibri"/>
                <w:color w:val="000000"/>
                <w:sz w:val="18"/>
                <w:szCs w:val="18"/>
                <w:u w:val="single"/>
              </w:rPr>
            </w:pPr>
            <w:r w:rsidRPr="001B7135">
              <w:rPr>
                <w:rFonts w:ascii="Calibri" w:hAnsi="Calibri" w:cs="Calibri"/>
                <w:color w:val="000000"/>
                <w:sz w:val="18"/>
                <w:szCs w:val="18"/>
                <w:u w:val="single"/>
              </w:rPr>
              <w:t>95% Sharing Accounts</w:t>
            </w:r>
          </w:p>
        </w:tc>
        <w:tc>
          <w:tcPr>
            <w:tcW w:w="1816" w:type="dxa"/>
            <w:tcBorders>
              <w:top w:val="nil"/>
              <w:left w:val="nil"/>
              <w:bottom w:val="nil"/>
              <w:right w:val="nil"/>
            </w:tcBorders>
            <w:shd w:val="clear" w:color="auto" w:fill="auto"/>
            <w:noWrap/>
            <w:vAlign w:val="bottom"/>
            <w:hideMark/>
          </w:tcPr>
          <w:p w14:paraId="1B633848" w14:textId="77777777" w:rsidR="00D30A89" w:rsidRPr="001B7135" w:rsidRDefault="00D30A89" w:rsidP="00D30A89">
            <w:pPr>
              <w:rPr>
                <w:rFonts w:ascii="Calibri" w:hAnsi="Calibri" w:cs="Calibri"/>
                <w:color w:val="000000"/>
                <w:sz w:val="18"/>
                <w:szCs w:val="18"/>
                <w:u w:val="single"/>
              </w:rPr>
            </w:pPr>
          </w:p>
        </w:tc>
        <w:tc>
          <w:tcPr>
            <w:tcW w:w="1615" w:type="dxa"/>
            <w:tcBorders>
              <w:top w:val="nil"/>
              <w:left w:val="nil"/>
              <w:bottom w:val="nil"/>
              <w:right w:val="nil"/>
            </w:tcBorders>
            <w:shd w:val="clear" w:color="auto" w:fill="auto"/>
            <w:noWrap/>
            <w:vAlign w:val="bottom"/>
            <w:hideMark/>
          </w:tcPr>
          <w:p w14:paraId="4872F194" w14:textId="77777777" w:rsidR="00D30A89" w:rsidRPr="001B7135" w:rsidRDefault="00D30A89" w:rsidP="00D30A89">
            <w:pPr>
              <w:rPr>
                <w:rFonts w:ascii="Times New Roman" w:hAnsi="Times New Roman"/>
                <w:sz w:val="18"/>
                <w:szCs w:val="18"/>
              </w:rPr>
            </w:pPr>
          </w:p>
        </w:tc>
        <w:tc>
          <w:tcPr>
            <w:tcW w:w="1637" w:type="dxa"/>
            <w:tcBorders>
              <w:top w:val="nil"/>
              <w:left w:val="nil"/>
              <w:bottom w:val="nil"/>
              <w:right w:val="single" w:sz="4" w:space="0" w:color="auto"/>
            </w:tcBorders>
            <w:shd w:val="clear" w:color="auto" w:fill="auto"/>
            <w:noWrap/>
            <w:vAlign w:val="bottom"/>
            <w:hideMark/>
          </w:tcPr>
          <w:p w14:paraId="7CAAA948" w14:textId="77777777" w:rsidR="00D30A89" w:rsidRPr="001B7135" w:rsidRDefault="00D30A89" w:rsidP="00D30A89">
            <w:pPr>
              <w:rPr>
                <w:rFonts w:ascii="Calibri" w:hAnsi="Calibri" w:cs="Calibri"/>
                <w:color w:val="000000"/>
                <w:sz w:val="18"/>
                <w:szCs w:val="18"/>
              </w:rPr>
            </w:pPr>
            <w:r w:rsidRPr="001B7135">
              <w:rPr>
                <w:rFonts w:ascii="Calibri" w:hAnsi="Calibri" w:cs="Calibri"/>
                <w:color w:val="000000"/>
                <w:sz w:val="18"/>
                <w:szCs w:val="18"/>
              </w:rPr>
              <w:t> </w:t>
            </w:r>
          </w:p>
        </w:tc>
      </w:tr>
      <w:tr w:rsidR="001B7135" w:rsidRPr="001B7135" w14:paraId="5C9B87EE" w14:textId="77777777" w:rsidTr="00175DA0">
        <w:trPr>
          <w:trHeight w:val="300"/>
          <w:jc w:val="center"/>
        </w:trPr>
        <w:tc>
          <w:tcPr>
            <w:tcW w:w="840" w:type="dxa"/>
            <w:tcBorders>
              <w:top w:val="nil"/>
              <w:left w:val="single" w:sz="4" w:space="0" w:color="auto"/>
              <w:bottom w:val="nil"/>
              <w:right w:val="single" w:sz="4" w:space="0" w:color="auto"/>
            </w:tcBorders>
            <w:shd w:val="clear" w:color="auto" w:fill="auto"/>
            <w:noWrap/>
            <w:vAlign w:val="bottom"/>
            <w:hideMark/>
          </w:tcPr>
          <w:p w14:paraId="7208D38B" w14:textId="77777777" w:rsidR="001B7135" w:rsidRPr="001B7135" w:rsidRDefault="001B7135" w:rsidP="001B7135">
            <w:pPr>
              <w:jc w:val="center"/>
              <w:rPr>
                <w:rFonts w:ascii="Calibri" w:hAnsi="Calibri" w:cs="Calibri"/>
                <w:color w:val="000000"/>
                <w:sz w:val="18"/>
                <w:szCs w:val="18"/>
              </w:rPr>
            </w:pPr>
            <w:r w:rsidRPr="001B7135">
              <w:rPr>
                <w:rFonts w:ascii="Calibri" w:hAnsi="Calibri" w:cs="Calibri"/>
                <w:color w:val="000000"/>
                <w:sz w:val="18"/>
                <w:szCs w:val="18"/>
              </w:rPr>
              <w:t>1</w:t>
            </w:r>
          </w:p>
        </w:tc>
        <w:tc>
          <w:tcPr>
            <w:tcW w:w="3552" w:type="dxa"/>
            <w:tcBorders>
              <w:top w:val="nil"/>
              <w:left w:val="nil"/>
              <w:bottom w:val="nil"/>
              <w:right w:val="nil"/>
            </w:tcBorders>
            <w:shd w:val="clear" w:color="auto" w:fill="auto"/>
            <w:noWrap/>
            <w:vAlign w:val="bottom"/>
            <w:hideMark/>
          </w:tcPr>
          <w:p w14:paraId="57A87255" w14:textId="77777777" w:rsidR="001B7135" w:rsidRPr="001B7135" w:rsidRDefault="001B7135" w:rsidP="001B7135">
            <w:pPr>
              <w:rPr>
                <w:rFonts w:ascii="Calibri" w:hAnsi="Calibri" w:cs="Calibri"/>
                <w:color w:val="000000"/>
                <w:sz w:val="18"/>
                <w:szCs w:val="18"/>
              </w:rPr>
            </w:pPr>
            <w:r w:rsidRPr="001B7135">
              <w:rPr>
                <w:rFonts w:ascii="Calibri" w:hAnsi="Calibri" w:cs="Calibri"/>
                <w:color w:val="000000"/>
                <w:sz w:val="18"/>
                <w:szCs w:val="18"/>
              </w:rPr>
              <w:t>Account 501, Coal</w:t>
            </w:r>
          </w:p>
        </w:tc>
        <w:tc>
          <w:tcPr>
            <w:tcW w:w="1816" w:type="dxa"/>
            <w:tcBorders>
              <w:top w:val="nil"/>
              <w:left w:val="nil"/>
              <w:bottom w:val="nil"/>
              <w:right w:val="nil"/>
            </w:tcBorders>
            <w:shd w:val="clear" w:color="auto" w:fill="auto"/>
            <w:noWrap/>
            <w:vAlign w:val="bottom"/>
            <w:hideMark/>
          </w:tcPr>
          <w:p w14:paraId="74370403" w14:textId="7C3B51BB"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xml:space="preserve"> $      151,179,160 </w:t>
            </w:r>
          </w:p>
        </w:tc>
        <w:tc>
          <w:tcPr>
            <w:tcW w:w="1615" w:type="dxa"/>
            <w:tcBorders>
              <w:top w:val="nil"/>
              <w:left w:val="nil"/>
              <w:bottom w:val="nil"/>
              <w:right w:val="nil"/>
            </w:tcBorders>
            <w:shd w:val="clear" w:color="auto" w:fill="auto"/>
            <w:noWrap/>
            <w:vAlign w:val="bottom"/>
            <w:hideMark/>
          </w:tcPr>
          <w:p w14:paraId="7DA1DED2" w14:textId="6668392C"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xml:space="preserve"> $        130,090,026 </w:t>
            </w:r>
          </w:p>
        </w:tc>
        <w:tc>
          <w:tcPr>
            <w:tcW w:w="1637" w:type="dxa"/>
            <w:tcBorders>
              <w:top w:val="nil"/>
              <w:left w:val="nil"/>
              <w:bottom w:val="nil"/>
              <w:right w:val="single" w:sz="4" w:space="0" w:color="auto"/>
            </w:tcBorders>
            <w:shd w:val="clear" w:color="auto" w:fill="auto"/>
            <w:noWrap/>
            <w:vAlign w:val="bottom"/>
            <w:hideMark/>
          </w:tcPr>
          <w:p w14:paraId="45EE28AE" w14:textId="695C586C"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xml:space="preserve"> $     (21,089,135)</w:t>
            </w:r>
          </w:p>
        </w:tc>
      </w:tr>
      <w:tr w:rsidR="001B7135" w:rsidRPr="001B7135" w14:paraId="5A4D0D4F" w14:textId="77777777" w:rsidTr="00175DA0">
        <w:trPr>
          <w:trHeight w:val="300"/>
          <w:jc w:val="center"/>
        </w:trPr>
        <w:tc>
          <w:tcPr>
            <w:tcW w:w="840" w:type="dxa"/>
            <w:tcBorders>
              <w:top w:val="nil"/>
              <w:left w:val="single" w:sz="4" w:space="0" w:color="auto"/>
              <w:bottom w:val="nil"/>
              <w:right w:val="single" w:sz="4" w:space="0" w:color="auto"/>
            </w:tcBorders>
            <w:shd w:val="clear" w:color="auto" w:fill="auto"/>
            <w:noWrap/>
            <w:vAlign w:val="bottom"/>
            <w:hideMark/>
          </w:tcPr>
          <w:p w14:paraId="55BAA4CE" w14:textId="77777777" w:rsidR="001B7135" w:rsidRPr="001B7135" w:rsidRDefault="001B7135" w:rsidP="001B7135">
            <w:pPr>
              <w:jc w:val="center"/>
              <w:rPr>
                <w:rFonts w:ascii="Calibri" w:hAnsi="Calibri" w:cs="Calibri"/>
                <w:color w:val="000000"/>
                <w:sz w:val="18"/>
                <w:szCs w:val="18"/>
              </w:rPr>
            </w:pPr>
            <w:r w:rsidRPr="001B7135">
              <w:rPr>
                <w:rFonts w:ascii="Calibri" w:hAnsi="Calibri" w:cs="Calibri"/>
                <w:color w:val="000000"/>
                <w:sz w:val="18"/>
                <w:szCs w:val="18"/>
              </w:rPr>
              <w:t>2</w:t>
            </w:r>
          </w:p>
        </w:tc>
        <w:tc>
          <w:tcPr>
            <w:tcW w:w="3552" w:type="dxa"/>
            <w:tcBorders>
              <w:top w:val="nil"/>
              <w:left w:val="nil"/>
              <w:bottom w:val="nil"/>
              <w:right w:val="nil"/>
            </w:tcBorders>
            <w:shd w:val="clear" w:color="auto" w:fill="auto"/>
            <w:noWrap/>
            <w:vAlign w:val="bottom"/>
            <w:hideMark/>
          </w:tcPr>
          <w:p w14:paraId="74514986" w14:textId="77777777" w:rsidR="001B7135" w:rsidRPr="001B7135" w:rsidRDefault="001B7135" w:rsidP="001B7135">
            <w:pPr>
              <w:rPr>
                <w:rFonts w:ascii="Calibri" w:hAnsi="Calibri" w:cs="Calibri"/>
                <w:color w:val="000000"/>
                <w:sz w:val="18"/>
                <w:szCs w:val="18"/>
              </w:rPr>
            </w:pPr>
            <w:r w:rsidRPr="001B7135">
              <w:rPr>
                <w:rFonts w:ascii="Calibri" w:hAnsi="Calibri" w:cs="Calibri"/>
                <w:color w:val="000000"/>
                <w:sz w:val="18"/>
                <w:szCs w:val="18"/>
              </w:rPr>
              <w:t>Account 536, Water for Power</w:t>
            </w:r>
          </w:p>
        </w:tc>
        <w:tc>
          <w:tcPr>
            <w:tcW w:w="1816" w:type="dxa"/>
            <w:tcBorders>
              <w:top w:val="nil"/>
              <w:left w:val="nil"/>
              <w:bottom w:val="nil"/>
              <w:right w:val="nil"/>
            </w:tcBorders>
            <w:shd w:val="clear" w:color="auto" w:fill="auto"/>
            <w:noWrap/>
            <w:vAlign w:val="bottom"/>
            <w:hideMark/>
          </w:tcPr>
          <w:p w14:paraId="6D7E9FF3" w14:textId="54EE43D8"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xml:space="preserve"> $                          0 </w:t>
            </w:r>
          </w:p>
        </w:tc>
        <w:tc>
          <w:tcPr>
            <w:tcW w:w="1615" w:type="dxa"/>
            <w:tcBorders>
              <w:top w:val="nil"/>
              <w:left w:val="nil"/>
              <w:bottom w:val="nil"/>
              <w:right w:val="nil"/>
            </w:tcBorders>
            <w:shd w:val="clear" w:color="auto" w:fill="auto"/>
            <w:noWrap/>
            <w:vAlign w:val="bottom"/>
            <w:hideMark/>
          </w:tcPr>
          <w:p w14:paraId="2DCB1A4D" w14:textId="4D8FF1A8"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xml:space="preserve"> $                          </w:t>
            </w:r>
            <w:r>
              <w:rPr>
                <w:rFonts w:ascii="Calibri" w:hAnsi="Calibri" w:cs="Calibri"/>
                <w:color w:val="000000"/>
                <w:sz w:val="18"/>
                <w:szCs w:val="18"/>
              </w:rPr>
              <w:t xml:space="preserve">  </w:t>
            </w:r>
            <w:r w:rsidRPr="001B7135">
              <w:rPr>
                <w:rFonts w:ascii="Calibri" w:hAnsi="Calibri" w:cs="Calibri"/>
                <w:color w:val="000000"/>
                <w:sz w:val="18"/>
                <w:szCs w:val="18"/>
              </w:rPr>
              <w:t xml:space="preserve">0 </w:t>
            </w:r>
          </w:p>
        </w:tc>
        <w:tc>
          <w:tcPr>
            <w:tcW w:w="1637" w:type="dxa"/>
            <w:tcBorders>
              <w:top w:val="nil"/>
              <w:left w:val="nil"/>
              <w:bottom w:val="nil"/>
              <w:right w:val="single" w:sz="4" w:space="0" w:color="auto"/>
            </w:tcBorders>
            <w:shd w:val="clear" w:color="auto" w:fill="auto"/>
            <w:noWrap/>
            <w:vAlign w:val="bottom"/>
            <w:hideMark/>
          </w:tcPr>
          <w:p w14:paraId="63BCBA89" w14:textId="392CE44D"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xml:space="preserve"> $                         0  </w:t>
            </w:r>
          </w:p>
        </w:tc>
      </w:tr>
      <w:tr w:rsidR="001B7135" w:rsidRPr="001B7135" w14:paraId="4C1F0775" w14:textId="77777777" w:rsidTr="00175DA0">
        <w:trPr>
          <w:trHeight w:val="300"/>
          <w:jc w:val="center"/>
        </w:trPr>
        <w:tc>
          <w:tcPr>
            <w:tcW w:w="840" w:type="dxa"/>
            <w:tcBorders>
              <w:top w:val="nil"/>
              <w:left w:val="single" w:sz="4" w:space="0" w:color="auto"/>
              <w:bottom w:val="nil"/>
              <w:right w:val="single" w:sz="4" w:space="0" w:color="auto"/>
            </w:tcBorders>
            <w:shd w:val="clear" w:color="auto" w:fill="auto"/>
            <w:noWrap/>
            <w:vAlign w:val="bottom"/>
            <w:hideMark/>
          </w:tcPr>
          <w:p w14:paraId="59046CFC" w14:textId="77777777" w:rsidR="001B7135" w:rsidRPr="001B7135" w:rsidRDefault="001B7135" w:rsidP="001B7135">
            <w:pPr>
              <w:jc w:val="center"/>
              <w:rPr>
                <w:rFonts w:ascii="Calibri" w:hAnsi="Calibri" w:cs="Calibri"/>
                <w:color w:val="000000"/>
                <w:sz w:val="18"/>
                <w:szCs w:val="18"/>
              </w:rPr>
            </w:pPr>
            <w:r w:rsidRPr="001B7135">
              <w:rPr>
                <w:rFonts w:ascii="Calibri" w:hAnsi="Calibri" w:cs="Calibri"/>
                <w:color w:val="000000"/>
                <w:sz w:val="18"/>
                <w:szCs w:val="18"/>
              </w:rPr>
              <w:t>3</w:t>
            </w:r>
          </w:p>
        </w:tc>
        <w:tc>
          <w:tcPr>
            <w:tcW w:w="3552" w:type="dxa"/>
            <w:tcBorders>
              <w:top w:val="nil"/>
              <w:left w:val="nil"/>
              <w:bottom w:val="nil"/>
              <w:right w:val="nil"/>
            </w:tcBorders>
            <w:shd w:val="clear" w:color="auto" w:fill="auto"/>
            <w:noWrap/>
            <w:vAlign w:val="bottom"/>
            <w:hideMark/>
          </w:tcPr>
          <w:p w14:paraId="19D5DEDC" w14:textId="77777777" w:rsidR="001B7135" w:rsidRPr="001B7135" w:rsidRDefault="001B7135" w:rsidP="001B7135">
            <w:pPr>
              <w:rPr>
                <w:rFonts w:ascii="Calibri" w:hAnsi="Calibri" w:cs="Calibri"/>
                <w:color w:val="000000"/>
                <w:sz w:val="18"/>
                <w:szCs w:val="18"/>
              </w:rPr>
            </w:pPr>
            <w:r w:rsidRPr="001B7135">
              <w:rPr>
                <w:rFonts w:ascii="Calibri" w:hAnsi="Calibri" w:cs="Calibri"/>
                <w:color w:val="000000"/>
                <w:sz w:val="18"/>
                <w:szCs w:val="18"/>
              </w:rPr>
              <w:t>Account 547, Other Fuel</w:t>
            </w:r>
          </w:p>
        </w:tc>
        <w:tc>
          <w:tcPr>
            <w:tcW w:w="1816" w:type="dxa"/>
            <w:tcBorders>
              <w:top w:val="nil"/>
              <w:left w:val="nil"/>
              <w:bottom w:val="nil"/>
              <w:right w:val="nil"/>
            </w:tcBorders>
            <w:shd w:val="clear" w:color="auto" w:fill="auto"/>
            <w:noWrap/>
            <w:vAlign w:val="bottom"/>
            <w:hideMark/>
          </w:tcPr>
          <w:p w14:paraId="3CD35332" w14:textId="3DB71802"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xml:space="preserve"> $        79,067,982 </w:t>
            </w:r>
          </w:p>
        </w:tc>
        <w:tc>
          <w:tcPr>
            <w:tcW w:w="1615" w:type="dxa"/>
            <w:tcBorders>
              <w:top w:val="nil"/>
              <w:left w:val="nil"/>
              <w:bottom w:val="nil"/>
              <w:right w:val="nil"/>
            </w:tcBorders>
            <w:shd w:val="clear" w:color="auto" w:fill="auto"/>
            <w:noWrap/>
            <w:vAlign w:val="bottom"/>
            <w:hideMark/>
          </w:tcPr>
          <w:p w14:paraId="122B84A0" w14:textId="06D5AE1D"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xml:space="preserve"> $        134,623,640 </w:t>
            </w:r>
          </w:p>
        </w:tc>
        <w:tc>
          <w:tcPr>
            <w:tcW w:w="1637" w:type="dxa"/>
            <w:tcBorders>
              <w:top w:val="nil"/>
              <w:left w:val="nil"/>
              <w:bottom w:val="nil"/>
              <w:right w:val="single" w:sz="4" w:space="0" w:color="auto"/>
            </w:tcBorders>
            <w:shd w:val="clear" w:color="auto" w:fill="auto"/>
            <w:noWrap/>
            <w:vAlign w:val="bottom"/>
            <w:hideMark/>
          </w:tcPr>
          <w:p w14:paraId="2A8BB156" w14:textId="4AA373BC"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xml:space="preserve"> $       55,555,657 </w:t>
            </w:r>
          </w:p>
        </w:tc>
      </w:tr>
      <w:tr w:rsidR="001B7135" w:rsidRPr="001B7135" w14:paraId="781ECEE3" w14:textId="77777777" w:rsidTr="00175DA0">
        <w:trPr>
          <w:trHeight w:val="300"/>
          <w:jc w:val="center"/>
        </w:trPr>
        <w:tc>
          <w:tcPr>
            <w:tcW w:w="840" w:type="dxa"/>
            <w:tcBorders>
              <w:top w:val="nil"/>
              <w:left w:val="single" w:sz="4" w:space="0" w:color="auto"/>
              <w:bottom w:val="nil"/>
              <w:right w:val="single" w:sz="4" w:space="0" w:color="auto"/>
            </w:tcBorders>
            <w:shd w:val="clear" w:color="auto" w:fill="auto"/>
            <w:noWrap/>
            <w:vAlign w:val="bottom"/>
            <w:hideMark/>
          </w:tcPr>
          <w:p w14:paraId="5D6DFDD3" w14:textId="77777777" w:rsidR="001B7135" w:rsidRPr="001B7135" w:rsidRDefault="001B7135" w:rsidP="001B7135">
            <w:pPr>
              <w:jc w:val="center"/>
              <w:rPr>
                <w:rFonts w:ascii="Calibri" w:hAnsi="Calibri" w:cs="Calibri"/>
                <w:color w:val="000000"/>
                <w:sz w:val="18"/>
                <w:szCs w:val="18"/>
              </w:rPr>
            </w:pPr>
            <w:r w:rsidRPr="001B7135">
              <w:rPr>
                <w:rFonts w:ascii="Calibri" w:hAnsi="Calibri" w:cs="Calibri"/>
                <w:color w:val="000000"/>
                <w:sz w:val="18"/>
                <w:szCs w:val="18"/>
              </w:rPr>
              <w:t>4</w:t>
            </w:r>
          </w:p>
        </w:tc>
        <w:tc>
          <w:tcPr>
            <w:tcW w:w="3552" w:type="dxa"/>
            <w:tcBorders>
              <w:top w:val="nil"/>
              <w:left w:val="nil"/>
              <w:bottom w:val="nil"/>
              <w:right w:val="nil"/>
            </w:tcBorders>
            <w:shd w:val="clear" w:color="auto" w:fill="auto"/>
            <w:noWrap/>
            <w:vAlign w:val="bottom"/>
            <w:hideMark/>
          </w:tcPr>
          <w:p w14:paraId="5FAF7E30" w14:textId="77777777" w:rsidR="001B7135" w:rsidRPr="001B7135" w:rsidRDefault="001B7135" w:rsidP="001B7135">
            <w:pPr>
              <w:rPr>
                <w:rFonts w:ascii="Calibri" w:hAnsi="Calibri" w:cs="Calibri"/>
                <w:color w:val="000000"/>
                <w:sz w:val="18"/>
                <w:szCs w:val="18"/>
              </w:rPr>
            </w:pPr>
            <w:r w:rsidRPr="001B7135">
              <w:rPr>
                <w:rFonts w:ascii="Calibri" w:hAnsi="Calibri" w:cs="Calibri"/>
                <w:color w:val="000000"/>
                <w:sz w:val="18"/>
                <w:szCs w:val="18"/>
              </w:rPr>
              <w:t>Account 555, Purchased Power Non-PURPA</w:t>
            </w:r>
          </w:p>
        </w:tc>
        <w:tc>
          <w:tcPr>
            <w:tcW w:w="1816" w:type="dxa"/>
            <w:tcBorders>
              <w:top w:val="nil"/>
              <w:left w:val="nil"/>
              <w:bottom w:val="nil"/>
              <w:right w:val="nil"/>
            </w:tcBorders>
            <w:shd w:val="clear" w:color="auto" w:fill="auto"/>
            <w:noWrap/>
            <w:vAlign w:val="bottom"/>
            <w:hideMark/>
          </w:tcPr>
          <w:p w14:paraId="6A88DEE9" w14:textId="065F6427"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xml:space="preserve"> $        98,482,808 </w:t>
            </w:r>
          </w:p>
        </w:tc>
        <w:tc>
          <w:tcPr>
            <w:tcW w:w="1615" w:type="dxa"/>
            <w:tcBorders>
              <w:top w:val="nil"/>
              <w:left w:val="nil"/>
              <w:bottom w:val="nil"/>
              <w:right w:val="nil"/>
            </w:tcBorders>
            <w:shd w:val="clear" w:color="auto" w:fill="auto"/>
            <w:noWrap/>
            <w:vAlign w:val="bottom"/>
            <w:hideMark/>
          </w:tcPr>
          <w:p w14:paraId="1FDC8AEE" w14:textId="037302AB"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xml:space="preserve"> $        123,4</w:t>
            </w:r>
            <w:r w:rsidR="00CC3CB9">
              <w:rPr>
                <w:rFonts w:ascii="Calibri" w:hAnsi="Calibri" w:cs="Calibri"/>
                <w:color w:val="000000"/>
                <w:sz w:val="18"/>
                <w:szCs w:val="18"/>
              </w:rPr>
              <w:t>92</w:t>
            </w:r>
            <w:r w:rsidRPr="001B7135">
              <w:rPr>
                <w:rFonts w:ascii="Calibri" w:hAnsi="Calibri" w:cs="Calibri"/>
                <w:color w:val="000000"/>
                <w:sz w:val="18"/>
                <w:szCs w:val="18"/>
              </w:rPr>
              <w:t>,</w:t>
            </w:r>
            <w:r w:rsidR="00CC3CB9">
              <w:rPr>
                <w:rFonts w:ascii="Calibri" w:hAnsi="Calibri" w:cs="Calibri"/>
                <w:color w:val="000000"/>
                <w:sz w:val="18"/>
                <w:szCs w:val="18"/>
              </w:rPr>
              <w:t>688</w:t>
            </w:r>
            <w:r w:rsidRPr="001B7135">
              <w:rPr>
                <w:rFonts w:ascii="Calibri" w:hAnsi="Calibri" w:cs="Calibri"/>
                <w:color w:val="000000"/>
                <w:sz w:val="18"/>
                <w:szCs w:val="18"/>
              </w:rPr>
              <w:t xml:space="preserve"> </w:t>
            </w:r>
          </w:p>
        </w:tc>
        <w:tc>
          <w:tcPr>
            <w:tcW w:w="1637" w:type="dxa"/>
            <w:tcBorders>
              <w:top w:val="nil"/>
              <w:left w:val="nil"/>
              <w:bottom w:val="nil"/>
              <w:right w:val="single" w:sz="4" w:space="0" w:color="auto"/>
            </w:tcBorders>
            <w:shd w:val="clear" w:color="auto" w:fill="auto"/>
            <w:noWrap/>
            <w:vAlign w:val="bottom"/>
            <w:hideMark/>
          </w:tcPr>
          <w:p w14:paraId="6ACA90B8" w14:textId="36293CA6"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xml:space="preserve"> $       25,00</w:t>
            </w:r>
            <w:r w:rsidR="00CC3CB9">
              <w:rPr>
                <w:rFonts w:ascii="Calibri" w:hAnsi="Calibri" w:cs="Calibri"/>
                <w:color w:val="000000"/>
                <w:sz w:val="18"/>
                <w:szCs w:val="18"/>
              </w:rPr>
              <w:t>9</w:t>
            </w:r>
            <w:r w:rsidRPr="001B7135">
              <w:rPr>
                <w:rFonts w:ascii="Calibri" w:hAnsi="Calibri" w:cs="Calibri"/>
                <w:color w:val="000000"/>
                <w:sz w:val="18"/>
                <w:szCs w:val="18"/>
              </w:rPr>
              <w:t>,</w:t>
            </w:r>
            <w:r w:rsidR="00CC3CB9">
              <w:rPr>
                <w:rFonts w:ascii="Calibri" w:hAnsi="Calibri" w:cs="Calibri"/>
                <w:color w:val="000000"/>
                <w:sz w:val="18"/>
                <w:szCs w:val="18"/>
              </w:rPr>
              <w:t>880</w:t>
            </w:r>
            <w:r w:rsidRPr="001B7135">
              <w:rPr>
                <w:rFonts w:ascii="Calibri" w:hAnsi="Calibri" w:cs="Calibri"/>
                <w:color w:val="000000"/>
                <w:sz w:val="18"/>
                <w:szCs w:val="18"/>
              </w:rPr>
              <w:t xml:space="preserve"> </w:t>
            </w:r>
          </w:p>
        </w:tc>
      </w:tr>
      <w:tr w:rsidR="001B7135" w:rsidRPr="001B7135" w14:paraId="472C680D" w14:textId="77777777" w:rsidTr="00175DA0">
        <w:trPr>
          <w:trHeight w:val="300"/>
          <w:jc w:val="center"/>
        </w:trPr>
        <w:tc>
          <w:tcPr>
            <w:tcW w:w="840" w:type="dxa"/>
            <w:tcBorders>
              <w:top w:val="nil"/>
              <w:left w:val="single" w:sz="4" w:space="0" w:color="auto"/>
              <w:bottom w:val="nil"/>
              <w:right w:val="single" w:sz="4" w:space="0" w:color="auto"/>
            </w:tcBorders>
            <w:shd w:val="clear" w:color="auto" w:fill="auto"/>
            <w:noWrap/>
            <w:vAlign w:val="bottom"/>
            <w:hideMark/>
          </w:tcPr>
          <w:p w14:paraId="50F3D7F8" w14:textId="77777777" w:rsidR="001B7135" w:rsidRPr="001B7135" w:rsidRDefault="001B7135" w:rsidP="001B7135">
            <w:pPr>
              <w:jc w:val="center"/>
              <w:rPr>
                <w:rFonts w:ascii="Calibri" w:hAnsi="Calibri" w:cs="Calibri"/>
                <w:color w:val="000000"/>
                <w:sz w:val="18"/>
                <w:szCs w:val="18"/>
              </w:rPr>
            </w:pPr>
            <w:r w:rsidRPr="001B7135">
              <w:rPr>
                <w:rFonts w:ascii="Calibri" w:hAnsi="Calibri" w:cs="Calibri"/>
                <w:color w:val="000000"/>
                <w:sz w:val="18"/>
                <w:szCs w:val="18"/>
              </w:rPr>
              <w:t>5</w:t>
            </w:r>
          </w:p>
        </w:tc>
        <w:tc>
          <w:tcPr>
            <w:tcW w:w="3552" w:type="dxa"/>
            <w:tcBorders>
              <w:top w:val="nil"/>
              <w:left w:val="nil"/>
              <w:bottom w:val="nil"/>
              <w:right w:val="nil"/>
            </w:tcBorders>
            <w:shd w:val="clear" w:color="auto" w:fill="auto"/>
            <w:noWrap/>
            <w:vAlign w:val="bottom"/>
            <w:hideMark/>
          </w:tcPr>
          <w:p w14:paraId="35B12886" w14:textId="77777777" w:rsidR="001B7135" w:rsidRPr="001B7135" w:rsidRDefault="001B7135" w:rsidP="001B7135">
            <w:pPr>
              <w:rPr>
                <w:rFonts w:ascii="Calibri" w:hAnsi="Calibri" w:cs="Calibri"/>
                <w:color w:val="000000"/>
                <w:sz w:val="18"/>
                <w:szCs w:val="18"/>
              </w:rPr>
            </w:pPr>
            <w:r w:rsidRPr="001B7135">
              <w:rPr>
                <w:rFonts w:ascii="Calibri" w:hAnsi="Calibri" w:cs="Calibri"/>
                <w:color w:val="000000"/>
                <w:sz w:val="18"/>
                <w:szCs w:val="18"/>
              </w:rPr>
              <w:t xml:space="preserve">Account 565, 3rd Party Transmission </w:t>
            </w:r>
          </w:p>
        </w:tc>
        <w:tc>
          <w:tcPr>
            <w:tcW w:w="1816" w:type="dxa"/>
            <w:tcBorders>
              <w:top w:val="nil"/>
              <w:left w:val="nil"/>
              <w:bottom w:val="nil"/>
              <w:right w:val="nil"/>
            </w:tcBorders>
            <w:shd w:val="clear" w:color="auto" w:fill="auto"/>
            <w:noWrap/>
            <w:vAlign w:val="bottom"/>
            <w:hideMark/>
          </w:tcPr>
          <w:p w14:paraId="686C77F1" w14:textId="7A4B457E"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xml:space="preserve"> $          5,149,239 </w:t>
            </w:r>
          </w:p>
        </w:tc>
        <w:tc>
          <w:tcPr>
            <w:tcW w:w="1615" w:type="dxa"/>
            <w:tcBorders>
              <w:top w:val="nil"/>
              <w:left w:val="nil"/>
              <w:bottom w:val="nil"/>
              <w:right w:val="nil"/>
            </w:tcBorders>
            <w:shd w:val="clear" w:color="auto" w:fill="auto"/>
            <w:noWrap/>
            <w:vAlign w:val="bottom"/>
            <w:hideMark/>
          </w:tcPr>
          <w:p w14:paraId="24423B88" w14:textId="5EC7CC4E"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xml:space="preserve"> $            7,964,649 </w:t>
            </w:r>
          </w:p>
        </w:tc>
        <w:tc>
          <w:tcPr>
            <w:tcW w:w="1637" w:type="dxa"/>
            <w:tcBorders>
              <w:top w:val="nil"/>
              <w:left w:val="nil"/>
              <w:bottom w:val="nil"/>
              <w:right w:val="single" w:sz="4" w:space="0" w:color="auto"/>
            </w:tcBorders>
            <w:shd w:val="clear" w:color="auto" w:fill="auto"/>
            <w:noWrap/>
            <w:vAlign w:val="bottom"/>
            <w:hideMark/>
          </w:tcPr>
          <w:p w14:paraId="1BF2A83A" w14:textId="170D0A8F"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xml:space="preserve"> $         2,815,409 </w:t>
            </w:r>
          </w:p>
        </w:tc>
      </w:tr>
      <w:tr w:rsidR="001B7135" w:rsidRPr="001B7135" w14:paraId="533A58A6" w14:textId="77777777" w:rsidTr="00175DA0">
        <w:trPr>
          <w:trHeight w:val="300"/>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0DA0904B" w14:textId="77777777" w:rsidR="001B7135" w:rsidRPr="001B7135" w:rsidRDefault="001B7135" w:rsidP="001B7135">
            <w:pPr>
              <w:jc w:val="center"/>
              <w:rPr>
                <w:rFonts w:ascii="Calibri" w:hAnsi="Calibri" w:cs="Calibri"/>
                <w:color w:val="000000"/>
                <w:sz w:val="18"/>
                <w:szCs w:val="18"/>
              </w:rPr>
            </w:pPr>
            <w:r w:rsidRPr="001B7135">
              <w:rPr>
                <w:rFonts w:ascii="Calibri" w:hAnsi="Calibri" w:cs="Calibri"/>
                <w:color w:val="000000"/>
                <w:sz w:val="18"/>
                <w:szCs w:val="18"/>
              </w:rPr>
              <w:t>6</w:t>
            </w:r>
          </w:p>
        </w:tc>
        <w:tc>
          <w:tcPr>
            <w:tcW w:w="3552" w:type="dxa"/>
            <w:tcBorders>
              <w:top w:val="nil"/>
              <w:left w:val="nil"/>
              <w:bottom w:val="single" w:sz="4" w:space="0" w:color="auto"/>
              <w:right w:val="nil"/>
            </w:tcBorders>
            <w:shd w:val="clear" w:color="auto" w:fill="auto"/>
            <w:noWrap/>
            <w:vAlign w:val="bottom"/>
            <w:hideMark/>
          </w:tcPr>
          <w:p w14:paraId="63CC515B" w14:textId="77777777" w:rsidR="001B7135" w:rsidRPr="001B7135" w:rsidRDefault="001B7135" w:rsidP="001B7135">
            <w:pPr>
              <w:rPr>
                <w:rFonts w:ascii="Calibri" w:hAnsi="Calibri" w:cs="Calibri"/>
                <w:color w:val="000000"/>
                <w:sz w:val="18"/>
                <w:szCs w:val="18"/>
              </w:rPr>
            </w:pPr>
            <w:r w:rsidRPr="001B7135">
              <w:rPr>
                <w:rFonts w:ascii="Calibri" w:hAnsi="Calibri" w:cs="Calibri"/>
                <w:color w:val="000000"/>
                <w:sz w:val="18"/>
                <w:szCs w:val="18"/>
              </w:rPr>
              <w:t>Account 447, Surplus Sales</w:t>
            </w:r>
          </w:p>
        </w:tc>
        <w:tc>
          <w:tcPr>
            <w:tcW w:w="1816" w:type="dxa"/>
            <w:tcBorders>
              <w:top w:val="nil"/>
              <w:left w:val="nil"/>
              <w:bottom w:val="single" w:sz="4" w:space="0" w:color="auto"/>
              <w:right w:val="nil"/>
            </w:tcBorders>
            <w:shd w:val="clear" w:color="auto" w:fill="auto"/>
            <w:noWrap/>
            <w:vAlign w:val="bottom"/>
            <w:hideMark/>
          </w:tcPr>
          <w:p w14:paraId="3059EE2B" w14:textId="6ADEC36D"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xml:space="preserve"> $     (65,085,848)</w:t>
            </w:r>
          </w:p>
        </w:tc>
        <w:tc>
          <w:tcPr>
            <w:tcW w:w="1615" w:type="dxa"/>
            <w:tcBorders>
              <w:top w:val="nil"/>
              <w:left w:val="nil"/>
              <w:bottom w:val="single" w:sz="4" w:space="0" w:color="auto"/>
              <w:right w:val="nil"/>
            </w:tcBorders>
            <w:shd w:val="clear" w:color="auto" w:fill="auto"/>
            <w:noWrap/>
            <w:vAlign w:val="bottom"/>
            <w:hideMark/>
          </w:tcPr>
          <w:p w14:paraId="0512C6DC" w14:textId="320401DA"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xml:space="preserve"> $       (84,191,539)</w:t>
            </w:r>
          </w:p>
        </w:tc>
        <w:tc>
          <w:tcPr>
            <w:tcW w:w="1637" w:type="dxa"/>
            <w:tcBorders>
              <w:top w:val="nil"/>
              <w:left w:val="nil"/>
              <w:bottom w:val="single" w:sz="4" w:space="0" w:color="auto"/>
              <w:right w:val="single" w:sz="4" w:space="0" w:color="auto"/>
            </w:tcBorders>
            <w:shd w:val="clear" w:color="auto" w:fill="auto"/>
            <w:noWrap/>
            <w:vAlign w:val="bottom"/>
            <w:hideMark/>
          </w:tcPr>
          <w:p w14:paraId="3C63943A" w14:textId="4D2E84E0"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xml:space="preserve"> $    (19,105,691)</w:t>
            </w:r>
          </w:p>
        </w:tc>
      </w:tr>
      <w:tr w:rsidR="001B7135" w:rsidRPr="001B7135" w14:paraId="0D080C17" w14:textId="77777777" w:rsidTr="00175DA0">
        <w:trPr>
          <w:trHeight w:val="300"/>
          <w:jc w:val="center"/>
        </w:trPr>
        <w:tc>
          <w:tcPr>
            <w:tcW w:w="840" w:type="dxa"/>
            <w:tcBorders>
              <w:top w:val="nil"/>
              <w:left w:val="single" w:sz="4" w:space="0" w:color="auto"/>
              <w:bottom w:val="nil"/>
              <w:right w:val="single" w:sz="4" w:space="0" w:color="auto"/>
            </w:tcBorders>
            <w:shd w:val="clear" w:color="auto" w:fill="auto"/>
            <w:noWrap/>
            <w:vAlign w:val="bottom"/>
            <w:hideMark/>
          </w:tcPr>
          <w:p w14:paraId="0067C182" w14:textId="77777777" w:rsidR="001B7135" w:rsidRPr="001B7135" w:rsidRDefault="001B7135" w:rsidP="001B7135">
            <w:pPr>
              <w:jc w:val="center"/>
              <w:rPr>
                <w:rFonts w:ascii="Calibri" w:hAnsi="Calibri" w:cs="Calibri"/>
                <w:color w:val="000000"/>
                <w:sz w:val="18"/>
                <w:szCs w:val="18"/>
              </w:rPr>
            </w:pPr>
            <w:r w:rsidRPr="001B7135">
              <w:rPr>
                <w:rFonts w:ascii="Calibri" w:hAnsi="Calibri" w:cs="Calibri"/>
                <w:color w:val="000000"/>
                <w:sz w:val="18"/>
                <w:szCs w:val="18"/>
              </w:rPr>
              <w:t> </w:t>
            </w:r>
          </w:p>
        </w:tc>
        <w:tc>
          <w:tcPr>
            <w:tcW w:w="3552" w:type="dxa"/>
            <w:tcBorders>
              <w:top w:val="nil"/>
              <w:left w:val="nil"/>
              <w:bottom w:val="nil"/>
              <w:right w:val="nil"/>
            </w:tcBorders>
            <w:shd w:val="clear" w:color="auto" w:fill="auto"/>
            <w:noWrap/>
            <w:vAlign w:val="bottom"/>
            <w:hideMark/>
          </w:tcPr>
          <w:p w14:paraId="27774C9A" w14:textId="77777777" w:rsidR="001B7135" w:rsidRPr="001B7135" w:rsidRDefault="001B7135" w:rsidP="001B7135">
            <w:pPr>
              <w:rPr>
                <w:rFonts w:ascii="Calibri" w:hAnsi="Calibri" w:cs="Calibri"/>
                <w:color w:val="000000"/>
                <w:sz w:val="18"/>
                <w:szCs w:val="18"/>
              </w:rPr>
            </w:pPr>
            <w:r w:rsidRPr="001B7135">
              <w:rPr>
                <w:rFonts w:ascii="Calibri" w:hAnsi="Calibri" w:cs="Calibri"/>
                <w:color w:val="000000"/>
                <w:sz w:val="18"/>
                <w:szCs w:val="18"/>
              </w:rPr>
              <w:t> </w:t>
            </w:r>
          </w:p>
        </w:tc>
        <w:tc>
          <w:tcPr>
            <w:tcW w:w="1816" w:type="dxa"/>
            <w:tcBorders>
              <w:top w:val="nil"/>
              <w:left w:val="nil"/>
              <w:bottom w:val="nil"/>
              <w:right w:val="nil"/>
            </w:tcBorders>
            <w:shd w:val="clear" w:color="auto" w:fill="auto"/>
            <w:noWrap/>
            <w:vAlign w:val="bottom"/>
            <w:hideMark/>
          </w:tcPr>
          <w:p w14:paraId="1ECEDE8F" w14:textId="60982D0B"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xml:space="preserve">$     268,793,342 </w:t>
            </w:r>
          </w:p>
          <w:p w14:paraId="26C28884" w14:textId="17B82566" w:rsidR="001B7135" w:rsidRPr="001B7135" w:rsidRDefault="001B7135" w:rsidP="001B7135">
            <w:pPr>
              <w:jc w:val="right"/>
              <w:rPr>
                <w:rFonts w:ascii="Calibri" w:hAnsi="Calibri" w:cs="Calibri"/>
                <w:color w:val="000000"/>
                <w:sz w:val="18"/>
                <w:szCs w:val="18"/>
              </w:rPr>
            </w:pPr>
          </w:p>
        </w:tc>
        <w:tc>
          <w:tcPr>
            <w:tcW w:w="1615" w:type="dxa"/>
            <w:tcBorders>
              <w:top w:val="nil"/>
              <w:left w:val="nil"/>
              <w:bottom w:val="nil"/>
              <w:right w:val="nil"/>
            </w:tcBorders>
            <w:shd w:val="clear" w:color="auto" w:fill="auto"/>
            <w:noWrap/>
            <w:vAlign w:val="bottom"/>
            <w:hideMark/>
          </w:tcPr>
          <w:p w14:paraId="0FFBE648" w14:textId="202D0C33"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xml:space="preserve"> $       </w:t>
            </w:r>
            <w:r>
              <w:rPr>
                <w:rFonts w:ascii="Calibri" w:hAnsi="Calibri" w:cs="Calibri"/>
                <w:color w:val="000000"/>
                <w:sz w:val="18"/>
                <w:szCs w:val="18"/>
              </w:rPr>
              <w:t>311,97</w:t>
            </w:r>
            <w:r w:rsidR="00CC3CB9">
              <w:rPr>
                <w:rFonts w:ascii="Calibri" w:hAnsi="Calibri" w:cs="Calibri"/>
                <w:color w:val="000000"/>
                <w:sz w:val="18"/>
                <w:szCs w:val="18"/>
              </w:rPr>
              <w:t>9</w:t>
            </w:r>
            <w:r>
              <w:rPr>
                <w:rFonts w:ascii="Calibri" w:hAnsi="Calibri" w:cs="Calibri"/>
                <w:color w:val="000000"/>
                <w:sz w:val="18"/>
                <w:szCs w:val="18"/>
              </w:rPr>
              <w:t>,4</w:t>
            </w:r>
            <w:r w:rsidR="00CC3CB9">
              <w:rPr>
                <w:rFonts w:ascii="Calibri" w:hAnsi="Calibri" w:cs="Calibri"/>
                <w:color w:val="000000"/>
                <w:sz w:val="18"/>
                <w:szCs w:val="18"/>
              </w:rPr>
              <w:t>64</w:t>
            </w:r>
            <w:r w:rsidRPr="001B7135">
              <w:rPr>
                <w:rFonts w:ascii="Calibri" w:hAnsi="Calibri" w:cs="Calibri"/>
                <w:color w:val="000000"/>
                <w:sz w:val="18"/>
                <w:szCs w:val="18"/>
              </w:rPr>
              <w:t xml:space="preserve"> </w:t>
            </w:r>
          </w:p>
        </w:tc>
        <w:tc>
          <w:tcPr>
            <w:tcW w:w="1637" w:type="dxa"/>
            <w:tcBorders>
              <w:top w:val="nil"/>
              <w:left w:val="nil"/>
              <w:bottom w:val="nil"/>
              <w:right w:val="single" w:sz="4" w:space="0" w:color="auto"/>
            </w:tcBorders>
            <w:shd w:val="clear" w:color="auto" w:fill="auto"/>
            <w:noWrap/>
            <w:vAlign w:val="bottom"/>
            <w:hideMark/>
          </w:tcPr>
          <w:p w14:paraId="4DBDFFB8" w14:textId="5E70C354"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xml:space="preserve"> $       43,1</w:t>
            </w:r>
            <w:r w:rsidR="00CC3CB9">
              <w:rPr>
                <w:rFonts w:ascii="Calibri" w:hAnsi="Calibri" w:cs="Calibri"/>
                <w:color w:val="000000"/>
                <w:sz w:val="18"/>
                <w:szCs w:val="18"/>
              </w:rPr>
              <w:t>86</w:t>
            </w:r>
            <w:r w:rsidRPr="001B7135">
              <w:rPr>
                <w:rFonts w:ascii="Calibri" w:hAnsi="Calibri" w:cs="Calibri"/>
                <w:color w:val="000000"/>
                <w:sz w:val="18"/>
                <w:szCs w:val="18"/>
              </w:rPr>
              <w:t>,1</w:t>
            </w:r>
            <w:r w:rsidR="00CC3CB9">
              <w:rPr>
                <w:rFonts w:ascii="Calibri" w:hAnsi="Calibri" w:cs="Calibri"/>
                <w:color w:val="000000"/>
                <w:sz w:val="18"/>
                <w:szCs w:val="18"/>
              </w:rPr>
              <w:t>22</w:t>
            </w:r>
            <w:r w:rsidRPr="001B7135">
              <w:rPr>
                <w:rFonts w:ascii="Calibri" w:hAnsi="Calibri" w:cs="Calibri"/>
                <w:color w:val="000000"/>
                <w:sz w:val="18"/>
                <w:szCs w:val="18"/>
              </w:rPr>
              <w:t xml:space="preserve"> </w:t>
            </w:r>
          </w:p>
        </w:tc>
      </w:tr>
      <w:tr w:rsidR="001B7135" w:rsidRPr="001B7135" w14:paraId="0461B913" w14:textId="77777777" w:rsidTr="00175DA0">
        <w:trPr>
          <w:trHeight w:val="300"/>
          <w:jc w:val="center"/>
        </w:trPr>
        <w:tc>
          <w:tcPr>
            <w:tcW w:w="840" w:type="dxa"/>
            <w:tcBorders>
              <w:top w:val="nil"/>
              <w:left w:val="single" w:sz="4" w:space="0" w:color="auto"/>
              <w:bottom w:val="nil"/>
              <w:right w:val="single" w:sz="4" w:space="0" w:color="auto"/>
            </w:tcBorders>
            <w:shd w:val="clear" w:color="auto" w:fill="auto"/>
            <w:noWrap/>
            <w:vAlign w:val="bottom"/>
            <w:hideMark/>
          </w:tcPr>
          <w:p w14:paraId="08C48475" w14:textId="77777777" w:rsidR="001B7135" w:rsidRPr="001B7135" w:rsidRDefault="001B7135" w:rsidP="001B7135">
            <w:pPr>
              <w:jc w:val="center"/>
              <w:rPr>
                <w:rFonts w:ascii="Calibri" w:hAnsi="Calibri" w:cs="Calibri"/>
                <w:color w:val="000000"/>
                <w:sz w:val="18"/>
                <w:szCs w:val="18"/>
              </w:rPr>
            </w:pPr>
            <w:r w:rsidRPr="001B7135">
              <w:rPr>
                <w:rFonts w:ascii="Calibri" w:hAnsi="Calibri" w:cs="Calibri"/>
                <w:color w:val="000000"/>
                <w:sz w:val="18"/>
                <w:szCs w:val="18"/>
              </w:rPr>
              <w:t> </w:t>
            </w:r>
          </w:p>
        </w:tc>
        <w:tc>
          <w:tcPr>
            <w:tcW w:w="3552" w:type="dxa"/>
            <w:tcBorders>
              <w:top w:val="nil"/>
              <w:left w:val="nil"/>
              <w:bottom w:val="nil"/>
              <w:right w:val="nil"/>
            </w:tcBorders>
            <w:shd w:val="clear" w:color="auto" w:fill="auto"/>
            <w:noWrap/>
            <w:vAlign w:val="bottom"/>
            <w:hideMark/>
          </w:tcPr>
          <w:p w14:paraId="761A3585" w14:textId="77777777" w:rsidR="001B7135" w:rsidRPr="001B7135" w:rsidRDefault="001B7135" w:rsidP="001B7135">
            <w:pPr>
              <w:rPr>
                <w:rFonts w:ascii="Calibri" w:hAnsi="Calibri" w:cs="Calibri"/>
                <w:color w:val="000000"/>
                <w:sz w:val="18"/>
                <w:szCs w:val="18"/>
              </w:rPr>
            </w:pPr>
            <w:r w:rsidRPr="001B7135">
              <w:rPr>
                <w:rFonts w:ascii="Calibri" w:hAnsi="Calibri" w:cs="Calibri"/>
                <w:color w:val="000000"/>
                <w:sz w:val="18"/>
                <w:szCs w:val="18"/>
              </w:rPr>
              <w:t> </w:t>
            </w:r>
          </w:p>
        </w:tc>
        <w:tc>
          <w:tcPr>
            <w:tcW w:w="1816" w:type="dxa"/>
            <w:tcBorders>
              <w:top w:val="nil"/>
              <w:left w:val="nil"/>
              <w:bottom w:val="nil"/>
              <w:right w:val="nil"/>
            </w:tcBorders>
            <w:shd w:val="clear" w:color="auto" w:fill="auto"/>
            <w:noWrap/>
            <w:vAlign w:val="bottom"/>
            <w:hideMark/>
          </w:tcPr>
          <w:p w14:paraId="66843849" w14:textId="77777777" w:rsidR="001B7135" w:rsidRPr="001B7135" w:rsidRDefault="001B7135" w:rsidP="001B7135">
            <w:pPr>
              <w:rPr>
                <w:rFonts w:ascii="Calibri" w:hAnsi="Calibri" w:cs="Calibri"/>
                <w:color w:val="000000"/>
                <w:sz w:val="18"/>
                <w:szCs w:val="18"/>
              </w:rPr>
            </w:pPr>
          </w:p>
        </w:tc>
        <w:tc>
          <w:tcPr>
            <w:tcW w:w="1615" w:type="dxa"/>
            <w:tcBorders>
              <w:top w:val="nil"/>
              <w:left w:val="nil"/>
              <w:bottom w:val="nil"/>
              <w:right w:val="nil"/>
            </w:tcBorders>
            <w:shd w:val="clear" w:color="auto" w:fill="auto"/>
            <w:noWrap/>
            <w:vAlign w:val="bottom"/>
            <w:hideMark/>
          </w:tcPr>
          <w:p w14:paraId="797023DB" w14:textId="77777777" w:rsidR="001B7135" w:rsidRPr="001B7135" w:rsidRDefault="001B7135" w:rsidP="001B7135">
            <w:pPr>
              <w:jc w:val="right"/>
              <w:rPr>
                <w:rFonts w:ascii="Times New Roman" w:hAnsi="Times New Roman"/>
                <w:sz w:val="18"/>
                <w:szCs w:val="18"/>
              </w:rPr>
            </w:pPr>
          </w:p>
        </w:tc>
        <w:tc>
          <w:tcPr>
            <w:tcW w:w="1637" w:type="dxa"/>
            <w:tcBorders>
              <w:top w:val="nil"/>
              <w:left w:val="nil"/>
              <w:bottom w:val="nil"/>
              <w:right w:val="single" w:sz="4" w:space="0" w:color="auto"/>
            </w:tcBorders>
            <w:shd w:val="clear" w:color="auto" w:fill="auto"/>
            <w:noWrap/>
            <w:vAlign w:val="bottom"/>
            <w:hideMark/>
          </w:tcPr>
          <w:p w14:paraId="5E1C7281" w14:textId="11897E20"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w:t>
            </w:r>
          </w:p>
        </w:tc>
      </w:tr>
      <w:tr w:rsidR="001B7135" w:rsidRPr="001B7135" w14:paraId="5DF574B3" w14:textId="77777777" w:rsidTr="00175DA0">
        <w:trPr>
          <w:trHeight w:val="300"/>
          <w:jc w:val="center"/>
        </w:trPr>
        <w:tc>
          <w:tcPr>
            <w:tcW w:w="840" w:type="dxa"/>
            <w:tcBorders>
              <w:top w:val="nil"/>
              <w:left w:val="single" w:sz="4" w:space="0" w:color="auto"/>
              <w:bottom w:val="nil"/>
              <w:right w:val="single" w:sz="4" w:space="0" w:color="auto"/>
            </w:tcBorders>
            <w:shd w:val="clear" w:color="auto" w:fill="auto"/>
            <w:noWrap/>
            <w:vAlign w:val="bottom"/>
            <w:hideMark/>
          </w:tcPr>
          <w:p w14:paraId="3405CB32" w14:textId="77777777" w:rsidR="001B7135" w:rsidRPr="001B7135" w:rsidRDefault="001B7135" w:rsidP="001B7135">
            <w:pPr>
              <w:jc w:val="center"/>
              <w:rPr>
                <w:rFonts w:ascii="Calibri" w:hAnsi="Calibri" w:cs="Calibri"/>
                <w:color w:val="000000"/>
                <w:sz w:val="18"/>
                <w:szCs w:val="18"/>
              </w:rPr>
            </w:pPr>
            <w:r w:rsidRPr="001B7135">
              <w:rPr>
                <w:rFonts w:ascii="Calibri" w:hAnsi="Calibri" w:cs="Calibri"/>
                <w:color w:val="000000"/>
                <w:sz w:val="18"/>
                <w:szCs w:val="18"/>
              </w:rPr>
              <w:t> </w:t>
            </w:r>
          </w:p>
        </w:tc>
        <w:tc>
          <w:tcPr>
            <w:tcW w:w="3552" w:type="dxa"/>
            <w:tcBorders>
              <w:top w:val="nil"/>
              <w:left w:val="nil"/>
              <w:bottom w:val="nil"/>
              <w:right w:val="nil"/>
            </w:tcBorders>
            <w:shd w:val="clear" w:color="auto" w:fill="auto"/>
            <w:noWrap/>
            <w:vAlign w:val="bottom"/>
            <w:hideMark/>
          </w:tcPr>
          <w:p w14:paraId="5D5106F8" w14:textId="77777777" w:rsidR="001B7135" w:rsidRPr="001B7135" w:rsidRDefault="001B7135" w:rsidP="001B7135">
            <w:pPr>
              <w:rPr>
                <w:rFonts w:ascii="Calibri" w:hAnsi="Calibri" w:cs="Calibri"/>
                <w:color w:val="000000"/>
                <w:sz w:val="18"/>
                <w:szCs w:val="18"/>
                <w:u w:val="single"/>
              </w:rPr>
            </w:pPr>
            <w:r w:rsidRPr="001B7135">
              <w:rPr>
                <w:rFonts w:ascii="Calibri" w:hAnsi="Calibri" w:cs="Calibri"/>
                <w:color w:val="000000"/>
                <w:sz w:val="18"/>
                <w:szCs w:val="18"/>
                <w:u w:val="single"/>
              </w:rPr>
              <w:t>100% Sharing Accounts</w:t>
            </w:r>
          </w:p>
        </w:tc>
        <w:tc>
          <w:tcPr>
            <w:tcW w:w="1816" w:type="dxa"/>
            <w:tcBorders>
              <w:top w:val="nil"/>
              <w:left w:val="nil"/>
              <w:bottom w:val="nil"/>
              <w:right w:val="nil"/>
            </w:tcBorders>
            <w:shd w:val="clear" w:color="auto" w:fill="auto"/>
            <w:noWrap/>
            <w:vAlign w:val="bottom"/>
            <w:hideMark/>
          </w:tcPr>
          <w:p w14:paraId="08852EB7" w14:textId="77777777" w:rsidR="001B7135" w:rsidRPr="001B7135" w:rsidRDefault="001B7135" w:rsidP="001B7135">
            <w:pPr>
              <w:rPr>
                <w:rFonts w:ascii="Calibri" w:hAnsi="Calibri" w:cs="Calibri"/>
                <w:color w:val="000000"/>
                <w:sz w:val="18"/>
                <w:szCs w:val="18"/>
                <w:u w:val="single"/>
              </w:rPr>
            </w:pPr>
          </w:p>
        </w:tc>
        <w:tc>
          <w:tcPr>
            <w:tcW w:w="1615" w:type="dxa"/>
            <w:tcBorders>
              <w:top w:val="nil"/>
              <w:left w:val="nil"/>
              <w:bottom w:val="nil"/>
              <w:right w:val="nil"/>
            </w:tcBorders>
            <w:shd w:val="clear" w:color="auto" w:fill="auto"/>
            <w:noWrap/>
            <w:vAlign w:val="bottom"/>
            <w:hideMark/>
          </w:tcPr>
          <w:p w14:paraId="785DD50E" w14:textId="77777777" w:rsidR="001B7135" w:rsidRPr="001B7135" w:rsidRDefault="001B7135" w:rsidP="001B7135">
            <w:pPr>
              <w:jc w:val="right"/>
              <w:rPr>
                <w:rFonts w:ascii="Times New Roman" w:hAnsi="Times New Roman"/>
                <w:sz w:val="18"/>
                <w:szCs w:val="18"/>
              </w:rPr>
            </w:pPr>
          </w:p>
        </w:tc>
        <w:tc>
          <w:tcPr>
            <w:tcW w:w="1637" w:type="dxa"/>
            <w:tcBorders>
              <w:top w:val="nil"/>
              <w:left w:val="nil"/>
              <w:bottom w:val="nil"/>
              <w:right w:val="single" w:sz="4" w:space="0" w:color="auto"/>
            </w:tcBorders>
            <w:shd w:val="clear" w:color="auto" w:fill="auto"/>
            <w:noWrap/>
            <w:vAlign w:val="bottom"/>
            <w:hideMark/>
          </w:tcPr>
          <w:p w14:paraId="42C36B3A" w14:textId="50F2571E"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w:t>
            </w:r>
          </w:p>
        </w:tc>
      </w:tr>
      <w:tr w:rsidR="001B7135" w:rsidRPr="001B7135" w14:paraId="2C93A61D" w14:textId="77777777" w:rsidTr="00175DA0">
        <w:trPr>
          <w:trHeight w:val="300"/>
          <w:jc w:val="center"/>
        </w:trPr>
        <w:tc>
          <w:tcPr>
            <w:tcW w:w="840" w:type="dxa"/>
            <w:tcBorders>
              <w:top w:val="nil"/>
              <w:left w:val="single" w:sz="4" w:space="0" w:color="auto"/>
              <w:bottom w:val="nil"/>
              <w:right w:val="single" w:sz="4" w:space="0" w:color="auto"/>
            </w:tcBorders>
            <w:shd w:val="clear" w:color="auto" w:fill="auto"/>
            <w:noWrap/>
            <w:vAlign w:val="bottom"/>
            <w:hideMark/>
          </w:tcPr>
          <w:p w14:paraId="2C8ACEB2" w14:textId="77777777" w:rsidR="001B7135" w:rsidRPr="001B7135" w:rsidRDefault="001B7135" w:rsidP="001B7135">
            <w:pPr>
              <w:jc w:val="center"/>
              <w:rPr>
                <w:rFonts w:ascii="Calibri" w:hAnsi="Calibri" w:cs="Calibri"/>
                <w:color w:val="000000"/>
                <w:sz w:val="18"/>
                <w:szCs w:val="18"/>
              </w:rPr>
            </w:pPr>
            <w:r w:rsidRPr="001B7135">
              <w:rPr>
                <w:rFonts w:ascii="Calibri" w:hAnsi="Calibri" w:cs="Calibri"/>
                <w:color w:val="000000"/>
                <w:sz w:val="18"/>
                <w:szCs w:val="18"/>
              </w:rPr>
              <w:t>7</w:t>
            </w:r>
          </w:p>
        </w:tc>
        <w:tc>
          <w:tcPr>
            <w:tcW w:w="3552" w:type="dxa"/>
            <w:tcBorders>
              <w:top w:val="nil"/>
              <w:left w:val="nil"/>
              <w:bottom w:val="nil"/>
              <w:right w:val="nil"/>
            </w:tcBorders>
            <w:shd w:val="clear" w:color="auto" w:fill="auto"/>
            <w:noWrap/>
            <w:vAlign w:val="bottom"/>
            <w:hideMark/>
          </w:tcPr>
          <w:p w14:paraId="64284A12" w14:textId="77777777" w:rsidR="001B7135" w:rsidRPr="001B7135" w:rsidRDefault="001B7135" w:rsidP="001B7135">
            <w:pPr>
              <w:rPr>
                <w:rFonts w:ascii="Calibri" w:hAnsi="Calibri" w:cs="Calibri"/>
                <w:color w:val="000000"/>
                <w:sz w:val="18"/>
                <w:szCs w:val="18"/>
              </w:rPr>
            </w:pPr>
            <w:r w:rsidRPr="001B7135">
              <w:rPr>
                <w:rFonts w:ascii="Calibri" w:hAnsi="Calibri" w:cs="Calibri"/>
                <w:color w:val="000000"/>
                <w:sz w:val="18"/>
                <w:szCs w:val="18"/>
              </w:rPr>
              <w:t>Account 555, PURPA</w:t>
            </w:r>
          </w:p>
        </w:tc>
        <w:tc>
          <w:tcPr>
            <w:tcW w:w="1816" w:type="dxa"/>
            <w:tcBorders>
              <w:top w:val="nil"/>
              <w:left w:val="nil"/>
              <w:bottom w:val="nil"/>
              <w:right w:val="nil"/>
            </w:tcBorders>
            <w:shd w:val="clear" w:color="auto" w:fill="auto"/>
            <w:noWrap/>
            <w:vAlign w:val="bottom"/>
            <w:hideMark/>
          </w:tcPr>
          <w:p w14:paraId="78AE7259" w14:textId="31EF2BBD"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xml:space="preserve"> $     212,586,058 </w:t>
            </w:r>
          </w:p>
        </w:tc>
        <w:tc>
          <w:tcPr>
            <w:tcW w:w="1615" w:type="dxa"/>
            <w:tcBorders>
              <w:top w:val="nil"/>
              <w:left w:val="nil"/>
              <w:bottom w:val="nil"/>
              <w:right w:val="nil"/>
            </w:tcBorders>
            <w:shd w:val="clear" w:color="auto" w:fill="auto"/>
            <w:noWrap/>
            <w:vAlign w:val="bottom"/>
            <w:hideMark/>
          </w:tcPr>
          <w:p w14:paraId="5765AA0E" w14:textId="3FAD68A4"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xml:space="preserve"> $        218,535,412 </w:t>
            </w:r>
          </w:p>
        </w:tc>
        <w:tc>
          <w:tcPr>
            <w:tcW w:w="1637" w:type="dxa"/>
            <w:tcBorders>
              <w:top w:val="nil"/>
              <w:left w:val="nil"/>
              <w:bottom w:val="nil"/>
              <w:right w:val="single" w:sz="4" w:space="0" w:color="auto"/>
            </w:tcBorders>
            <w:shd w:val="clear" w:color="auto" w:fill="auto"/>
            <w:noWrap/>
            <w:vAlign w:val="bottom"/>
            <w:hideMark/>
          </w:tcPr>
          <w:p w14:paraId="7239C050" w14:textId="679C8D96"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xml:space="preserve"> $         5,949,354 </w:t>
            </w:r>
          </w:p>
        </w:tc>
      </w:tr>
      <w:tr w:rsidR="001B7135" w:rsidRPr="001B7135" w14:paraId="151C59FA" w14:textId="77777777" w:rsidTr="00175DA0">
        <w:trPr>
          <w:trHeight w:val="300"/>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3758737D" w14:textId="77777777" w:rsidR="001B7135" w:rsidRPr="001B7135" w:rsidRDefault="001B7135" w:rsidP="001B7135">
            <w:pPr>
              <w:jc w:val="center"/>
              <w:rPr>
                <w:rFonts w:ascii="Calibri" w:hAnsi="Calibri" w:cs="Calibri"/>
                <w:color w:val="000000"/>
                <w:sz w:val="18"/>
                <w:szCs w:val="18"/>
              </w:rPr>
            </w:pPr>
            <w:r w:rsidRPr="001B7135">
              <w:rPr>
                <w:rFonts w:ascii="Calibri" w:hAnsi="Calibri" w:cs="Calibri"/>
                <w:color w:val="000000"/>
                <w:sz w:val="18"/>
                <w:szCs w:val="18"/>
              </w:rPr>
              <w:t>8</w:t>
            </w:r>
          </w:p>
        </w:tc>
        <w:tc>
          <w:tcPr>
            <w:tcW w:w="3552" w:type="dxa"/>
            <w:tcBorders>
              <w:top w:val="nil"/>
              <w:left w:val="nil"/>
              <w:bottom w:val="single" w:sz="4" w:space="0" w:color="auto"/>
              <w:right w:val="nil"/>
            </w:tcBorders>
            <w:shd w:val="clear" w:color="auto" w:fill="auto"/>
            <w:noWrap/>
            <w:vAlign w:val="bottom"/>
            <w:hideMark/>
          </w:tcPr>
          <w:p w14:paraId="57534ACA" w14:textId="77777777" w:rsidR="001B7135" w:rsidRPr="001B7135" w:rsidRDefault="001B7135" w:rsidP="001B7135">
            <w:pPr>
              <w:rPr>
                <w:rFonts w:ascii="Calibri" w:hAnsi="Calibri" w:cs="Calibri"/>
                <w:color w:val="000000"/>
                <w:sz w:val="18"/>
                <w:szCs w:val="18"/>
              </w:rPr>
            </w:pPr>
            <w:r w:rsidRPr="001B7135">
              <w:rPr>
                <w:rFonts w:ascii="Calibri" w:hAnsi="Calibri" w:cs="Calibri"/>
                <w:color w:val="000000"/>
                <w:sz w:val="18"/>
                <w:szCs w:val="18"/>
              </w:rPr>
              <w:t>Account 555, Demand Response Incentives</w:t>
            </w:r>
          </w:p>
        </w:tc>
        <w:tc>
          <w:tcPr>
            <w:tcW w:w="1816" w:type="dxa"/>
            <w:tcBorders>
              <w:top w:val="nil"/>
              <w:left w:val="nil"/>
              <w:bottom w:val="single" w:sz="4" w:space="0" w:color="auto"/>
              <w:right w:val="nil"/>
            </w:tcBorders>
            <w:shd w:val="clear" w:color="auto" w:fill="auto"/>
            <w:noWrap/>
            <w:vAlign w:val="bottom"/>
            <w:hideMark/>
          </w:tcPr>
          <w:p w14:paraId="3169130E" w14:textId="1C073FEB"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xml:space="preserve"> $    </w:t>
            </w:r>
            <w:r>
              <w:rPr>
                <w:rFonts w:ascii="Calibri" w:hAnsi="Calibri" w:cs="Calibri"/>
                <w:color w:val="000000"/>
                <w:sz w:val="18"/>
                <w:szCs w:val="18"/>
              </w:rPr>
              <w:t xml:space="preserve"> </w:t>
            </w:r>
            <w:r w:rsidRPr="001B7135">
              <w:rPr>
                <w:rFonts w:ascii="Calibri" w:hAnsi="Calibri" w:cs="Calibri"/>
                <w:color w:val="000000"/>
                <w:sz w:val="18"/>
                <w:szCs w:val="18"/>
              </w:rPr>
              <w:t xml:space="preserve">     8,115,900 </w:t>
            </w:r>
          </w:p>
        </w:tc>
        <w:tc>
          <w:tcPr>
            <w:tcW w:w="1615" w:type="dxa"/>
            <w:tcBorders>
              <w:top w:val="nil"/>
              <w:left w:val="nil"/>
              <w:bottom w:val="single" w:sz="4" w:space="0" w:color="auto"/>
              <w:right w:val="nil"/>
            </w:tcBorders>
            <w:shd w:val="clear" w:color="auto" w:fill="auto"/>
            <w:noWrap/>
            <w:vAlign w:val="bottom"/>
            <w:hideMark/>
          </w:tcPr>
          <w:p w14:paraId="270CDA9A" w14:textId="30B43AED"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xml:space="preserve"> $          10,984,508 </w:t>
            </w:r>
          </w:p>
        </w:tc>
        <w:tc>
          <w:tcPr>
            <w:tcW w:w="1637" w:type="dxa"/>
            <w:tcBorders>
              <w:top w:val="nil"/>
              <w:left w:val="nil"/>
              <w:bottom w:val="single" w:sz="4" w:space="0" w:color="auto"/>
              <w:right w:val="single" w:sz="4" w:space="0" w:color="auto"/>
            </w:tcBorders>
            <w:shd w:val="clear" w:color="auto" w:fill="auto"/>
            <w:noWrap/>
            <w:vAlign w:val="bottom"/>
            <w:hideMark/>
          </w:tcPr>
          <w:p w14:paraId="332B099B" w14:textId="5808B4ED"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xml:space="preserve"> $         2,868,608 </w:t>
            </w:r>
          </w:p>
        </w:tc>
      </w:tr>
      <w:tr w:rsidR="001B7135" w:rsidRPr="001B7135" w14:paraId="26A8DEA8" w14:textId="77777777" w:rsidTr="00175DA0">
        <w:trPr>
          <w:trHeight w:val="300"/>
          <w:jc w:val="center"/>
        </w:trPr>
        <w:tc>
          <w:tcPr>
            <w:tcW w:w="840" w:type="dxa"/>
            <w:tcBorders>
              <w:top w:val="nil"/>
              <w:left w:val="single" w:sz="4" w:space="0" w:color="auto"/>
              <w:bottom w:val="nil"/>
              <w:right w:val="single" w:sz="4" w:space="0" w:color="auto"/>
            </w:tcBorders>
            <w:shd w:val="clear" w:color="auto" w:fill="auto"/>
            <w:noWrap/>
            <w:vAlign w:val="bottom"/>
            <w:hideMark/>
          </w:tcPr>
          <w:p w14:paraId="7BB4770D" w14:textId="77777777" w:rsidR="001B7135" w:rsidRPr="001B7135" w:rsidRDefault="001B7135" w:rsidP="001B7135">
            <w:pPr>
              <w:rPr>
                <w:rFonts w:ascii="Calibri" w:hAnsi="Calibri" w:cs="Calibri"/>
                <w:color w:val="000000"/>
                <w:sz w:val="18"/>
                <w:szCs w:val="18"/>
              </w:rPr>
            </w:pPr>
            <w:r w:rsidRPr="001B7135">
              <w:rPr>
                <w:rFonts w:ascii="Calibri" w:hAnsi="Calibri" w:cs="Calibri"/>
                <w:color w:val="000000"/>
                <w:sz w:val="18"/>
                <w:szCs w:val="18"/>
              </w:rPr>
              <w:t> </w:t>
            </w:r>
          </w:p>
        </w:tc>
        <w:tc>
          <w:tcPr>
            <w:tcW w:w="3552" w:type="dxa"/>
            <w:tcBorders>
              <w:top w:val="nil"/>
              <w:left w:val="nil"/>
              <w:bottom w:val="nil"/>
              <w:right w:val="nil"/>
            </w:tcBorders>
            <w:shd w:val="clear" w:color="auto" w:fill="auto"/>
            <w:noWrap/>
            <w:vAlign w:val="bottom"/>
            <w:hideMark/>
          </w:tcPr>
          <w:p w14:paraId="55482682" w14:textId="77777777" w:rsidR="001B7135" w:rsidRPr="001B7135" w:rsidRDefault="001B7135" w:rsidP="001B7135">
            <w:pPr>
              <w:rPr>
                <w:rFonts w:ascii="Calibri" w:hAnsi="Calibri" w:cs="Calibri"/>
                <w:color w:val="000000"/>
                <w:sz w:val="18"/>
                <w:szCs w:val="18"/>
              </w:rPr>
            </w:pPr>
            <w:r w:rsidRPr="001B7135">
              <w:rPr>
                <w:rFonts w:ascii="Calibri" w:hAnsi="Calibri" w:cs="Calibri"/>
                <w:color w:val="000000"/>
                <w:sz w:val="18"/>
                <w:szCs w:val="18"/>
              </w:rPr>
              <w:t> </w:t>
            </w:r>
          </w:p>
        </w:tc>
        <w:tc>
          <w:tcPr>
            <w:tcW w:w="1816" w:type="dxa"/>
            <w:tcBorders>
              <w:top w:val="nil"/>
              <w:left w:val="nil"/>
              <w:bottom w:val="nil"/>
              <w:right w:val="nil"/>
            </w:tcBorders>
            <w:shd w:val="clear" w:color="auto" w:fill="auto"/>
            <w:noWrap/>
            <w:vAlign w:val="bottom"/>
            <w:hideMark/>
          </w:tcPr>
          <w:p w14:paraId="4BFA1B93" w14:textId="1AFDF75C"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xml:space="preserve"> $     220,701,958 </w:t>
            </w:r>
          </w:p>
        </w:tc>
        <w:tc>
          <w:tcPr>
            <w:tcW w:w="1615" w:type="dxa"/>
            <w:tcBorders>
              <w:top w:val="nil"/>
              <w:left w:val="nil"/>
              <w:bottom w:val="nil"/>
              <w:right w:val="nil"/>
            </w:tcBorders>
            <w:shd w:val="clear" w:color="auto" w:fill="auto"/>
            <w:noWrap/>
            <w:vAlign w:val="bottom"/>
            <w:hideMark/>
          </w:tcPr>
          <w:p w14:paraId="3278A3E6" w14:textId="77777777"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xml:space="preserve"> </w:t>
            </w:r>
          </w:p>
          <w:p w14:paraId="395F7F25" w14:textId="77777777"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xml:space="preserve">$        229,519,920 </w:t>
            </w:r>
          </w:p>
          <w:p w14:paraId="5500A1C7" w14:textId="59348FCF" w:rsidR="001B7135" w:rsidRPr="001B7135" w:rsidRDefault="001B7135" w:rsidP="001B7135">
            <w:pPr>
              <w:jc w:val="right"/>
              <w:rPr>
                <w:rFonts w:ascii="Calibri" w:hAnsi="Calibri" w:cs="Calibri"/>
                <w:color w:val="000000"/>
                <w:sz w:val="18"/>
                <w:szCs w:val="18"/>
              </w:rPr>
            </w:pPr>
          </w:p>
        </w:tc>
        <w:tc>
          <w:tcPr>
            <w:tcW w:w="1637" w:type="dxa"/>
            <w:tcBorders>
              <w:top w:val="nil"/>
              <w:left w:val="nil"/>
              <w:bottom w:val="nil"/>
              <w:right w:val="single" w:sz="4" w:space="0" w:color="auto"/>
            </w:tcBorders>
            <w:shd w:val="clear" w:color="auto" w:fill="auto"/>
            <w:noWrap/>
            <w:vAlign w:val="bottom"/>
            <w:hideMark/>
          </w:tcPr>
          <w:p w14:paraId="144B4528" w14:textId="7727CE9E"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xml:space="preserve"> $        8,817,962 </w:t>
            </w:r>
          </w:p>
        </w:tc>
      </w:tr>
      <w:tr w:rsidR="001B7135" w:rsidRPr="001B7135" w14:paraId="61B2AC6F" w14:textId="77777777" w:rsidTr="00175DA0">
        <w:trPr>
          <w:trHeight w:val="300"/>
          <w:jc w:val="center"/>
        </w:trPr>
        <w:tc>
          <w:tcPr>
            <w:tcW w:w="840" w:type="dxa"/>
            <w:tcBorders>
              <w:top w:val="nil"/>
              <w:left w:val="single" w:sz="4" w:space="0" w:color="auto"/>
              <w:bottom w:val="nil"/>
              <w:right w:val="single" w:sz="4" w:space="0" w:color="auto"/>
            </w:tcBorders>
            <w:shd w:val="clear" w:color="auto" w:fill="auto"/>
            <w:noWrap/>
            <w:vAlign w:val="bottom"/>
            <w:hideMark/>
          </w:tcPr>
          <w:p w14:paraId="3772A5AE" w14:textId="77777777" w:rsidR="001B7135" w:rsidRPr="001B7135" w:rsidRDefault="001B7135" w:rsidP="001B7135">
            <w:pPr>
              <w:rPr>
                <w:rFonts w:ascii="Calibri" w:hAnsi="Calibri" w:cs="Calibri"/>
                <w:color w:val="000000"/>
                <w:sz w:val="18"/>
                <w:szCs w:val="18"/>
              </w:rPr>
            </w:pPr>
            <w:r w:rsidRPr="001B7135">
              <w:rPr>
                <w:rFonts w:ascii="Calibri" w:hAnsi="Calibri" w:cs="Calibri"/>
                <w:color w:val="000000"/>
                <w:sz w:val="18"/>
                <w:szCs w:val="18"/>
              </w:rPr>
              <w:t> </w:t>
            </w:r>
          </w:p>
        </w:tc>
        <w:tc>
          <w:tcPr>
            <w:tcW w:w="3552" w:type="dxa"/>
            <w:tcBorders>
              <w:top w:val="nil"/>
              <w:left w:val="nil"/>
              <w:bottom w:val="nil"/>
              <w:right w:val="nil"/>
            </w:tcBorders>
            <w:shd w:val="clear" w:color="auto" w:fill="auto"/>
            <w:noWrap/>
            <w:vAlign w:val="bottom"/>
            <w:hideMark/>
          </w:tcPr>
          <w:p w14:paraId="444AC519" w14:textId="77777777" w:rsidR="001B7135" w:rsidRPr="001B7135" w:rsidRDefault="001B7135" w:rsidP="001B7135">
            <w:pPr>
              <w:rPr>
                <w:rFonts w:ascii="Calibri" w:hAnsi="Calibri" w:cs="Calibri"/>
                <w:color w:val="000000"/>
                <w:sz w:val="18"/>
                <w:szCs w:val="18"/>
              </w:rPr>
            </w:pPr>
            <w:r w:rsidRPr="001B7135">
              <w:rPr>
                <w:rFonts w:ascii="Calibri" w:hAnsi="Calibri" w:cs="Calibri"/>
                <w:color w:val="000000"/>
                <w:sz w:val="18"/>
                <w:szCs w:val="18"/>
              </w:rPr>
              <w:t> </w:t>
            </w:r>
          </w:p>
        </w:tc>
        <w:tc>
          <w:tcPr>
            <w:tcW w:w="1816" w:type="dxa"/>
            <w:tcBorders>
              <w:top w:val="nil"/>
              <w:left w:val="nil"/>
              <w:bottom w:val="nil"/>
              <w:right w:val="nil"/>
            </w:tcBorders>
            <w:shd w:val="clear" w:color="auto" w:fill="auto"/>
            <w:noWrap/>
            <w:vAlign w:val="bottom"/>
            <w:hideMark/>
          </w:tcPr>
          <w:p w14:paraId="03783577" w14:textId="77777777" w:rsidR="001B7135" w:rsidRPr="001B7135" w:rsidRDefault="001B7135" w:rsidP="001B7135">
            <w:pPr>
              <w:rPr>
                <w:rFonts w:ascii="Calibri" w:hAnsi="Calibri" w:cs="Calibri"/>
                <w:color w:val="000000"/>
                <w:sz w:val="18"/>
                <w:szCs w:val="18"/>
              </w:rPr>
            </w:pPr>
          </w:p>
        </w:tc>
        <w:tc>
          <w:tcPr>
            <w:tcW w:w="1615" w:type="dxa"/>
            <w:tcBorders>
              <w:top w:val="nil"/>
              <w:left w:val="nil"/>
              <w:bottom w:val="nil"/>
              <w:right w:val="nil"/>
            </w:tcBorders>
            <w:shd w:val="clear" w:color="auto" w:fill="auto"/>
            <w:noWrap/>
            <w:vAlign w:val="bottom"/>
            <w:hideMark/>
          </w:tcPr>
          <w:p w14:paraId="35A7C07E" w14:textId="77777777" w:rsidR="001B7135" w:rsidRPr="001B7135" w:rsidRDefault="001B7135" w:rsidP="001B7135">
            <w:pPr>
              <w:jc w:val="right"/>
              <w:rPr>
                <w:rFonts w:ascii="Times New Roman" w:hAnsi="Times New Roman"/>
                <w:sz w:val="18"/>
                <w:szCs w:val="18"/>
              </w:rPr>
            </w:pPr>
          </w:p>
        </w:tc>
        <w:tc>
          <w:tcPr>
            <w:tcW w:w="1637" w:type="dxa"/>
            <w:tcBorders>
              <w:top w:val="nil"/>
              <w:left w:val="nil"/>
              <w:bottom w:val="nil"/>
              <w:right w:val="single" w:sz="4" w:space="0" w:color="auto"/>
            </w:tcBorders>
            <w:shd w:val="clear" w:color="auto" w:fill="auto"/>
            <w:noWrap/>
            <w:vAlign w:val="bottom"/>
            <w:hideMark/>
          </w:tcPr>
          <w:p w14:paraId="7F906654" w14:textId="27BD7BA1"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w:t>
            </w:r>
          </w:p>
        </w:tc>
      </w:tr>
      <w:tr w:rsidR="001B7135" w:rsidRPr="001B7135" w14:paraId="25D873F0" w14:textId="77777777" w:rsidTr="00175DA0">
        <w:trPr>
          <w:trHeight w:val="300"/>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1E8E0B59" w14:textId="77777777" w:rsidR="001B7135" w:rsidRPr="001B7135" w:rsidRDefault="001B7135" w:rsidP="001B7135">
            <w:pPr>
              <w:jc w:val="center"/>
              <w:rPr>
                <w:rFonts w:ascii="Calibri" w:hAnsi="Calibri" w:cs="Calibri"/>
                <w:color w:val="000000"/>
                <w:sz w:val="18"/>
                <w:szCs w:val="18"/>
              </w:rPr>
            </w:pPr>
            <w:r w:rsidRPr="001B7135">
              <w:rPr>
                <w:rFonts w:ascii="Calibri" w:hAnsi="Calibri" w:cs="Calibri"/>
                <w:color w:val="000000"/>
                <w:sz w:val="18"/>
                <w:szCs w:val="18"/>
              </w:rPr>
              <w:t>9</w:t>
            </w:r>
          </w:p>
        </w:tc>
        <w:tc>
          <w:tcPr>
            <w:tcW w:w="3552" w:type="dxa"/>
            <w:tcBorders>
              <w:top w:val="nil"/>
              <w:left w:val="nil"/>
              <w:bottom w:val="single" w:sz="4" w:space="0" w:color="auto"/>
              <w:right w:val="nil"/>
            </w:tcBorders>
            <w:shd w:val="clear" w:color="auto" w:fill="auto"/>
            <w:noWrap/>
            <w:vAlign w:val="bottom"/>
            <w:hideMark/>
          </w:tcPr>
          <w:p w14:paraId="4A5613D2" w14:textId="77777777" w:rsidR="001B7135" w:rsidRPr="001B7135" w:rsidRDefault="001B7135" w:rsidP="001B7135">
            <w:pPr>
              <w:rPr>
                <w:rFonts w:ascii="Calibri" w:hAnsi="Calibri" w:cs="Calibri"/>
                <w:color w:val="000000"/>
                <w:sz w:val="18"/>
                <w:szCs w:val="18"/>
              </w:rPr>
            </w:pPr>
            <w:r w:rsidRPr="001B7135">
              <w:rPr>
                <w:rFonts w:ascii="Calibri" w:hAnsi="Calibri" w:cs="Calibri"/>
                <w:color w:val="000000"/>
                <w:sz w:val="18"/>
                <w:szCs w:val="18"/>
              </w:rPr>
              <w:t>Total PCA Forecast</w:t>
            </w:r>
          </w:p>
        </w:tc>
        <w:tc>
          <w:tcPr>
            <w:tcW w:w="1816" w:type="dxa"/>
            <w:tcBorders>
              <w:top w:val="nil"/>
              <w:left w:val="nil"/>
              <w:bottom w:val="single" w:sz="4" w:space="0" w:color="auto"/>
              <w:right w:val="nil"/>
            </w:tcBorders>
            <w:shd w:val="clear" w:color="auto" w:fill="auto"/>
            <w:noWrap/>
            <w:vAlign w:val="bottom"/>
            <w:hideMark/>
          </w:tcPr>
          <w:p w14:paraId="35755869" w14:textId="77777777"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xml:space="preserve"> </w:t>
            </w:r>
          </w:p>
          <w:p w14:paraId="63434BDC" w14:textId="7253F12C"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489,495,300</w:t>
            </w:r>
          </w:p>
        </w:tc>
        <w:tc>
          <w:tcPr>
            <w:tcW w:w="1615" w:type="dxa"/>
            <w:tcBorders>
              <w:top w:val="nil"/>
              <w:left w:val="nil"/>
              <w:bottom w:val="single" w:sz="4" w:space="0" w:color="auto"/>
              <w:right w:val="nil"/>
            </w:tcBorders>
            <w:shd w:val="clear" w:color="auto" w:fill="auto"/>
            <w:noWrap/>
            <w:vAlign w:val="bottom"/>
            <w:hideMark/>
          </w:tcPr>
          <w:p w14:paraId="24D95039" w14:textId="77777777"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xml:space="preserve"> </w:t>
            </w:r>
          </w:p>
          <w:p w14:paraId="11E13461" w14:textId="3A71BA9A"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541,49</w:t>
            </w:r>
            <w:r w:rsidR="00CC3CB9">
              <w:rPr>
                <w:rFonts w:ascii="Calibri" w:hAnsi="Calibri" w:cs="Calibri"/>
                <w:color w:val="000000"/>
                <w:sz w:val="18"/>
                <w:szCs w:val="18"/>
              </w:rPr>
              <w:t>9</w:t>
            </w:r>
            <w:r w:rsidRPr="001B7135">
              <w:rPr>
                <w:rFonts w:ascii="Calibri" w:hAnsi="Calibri" w:cs="Calibri"/>
                <w:color w:val="000000"/>
                <w:sz w:val="18"/>
                <w:szCs w:val="18"/>
              </w:rPr>
              <w:t>,</w:t>
            </w:r>
            <w:r w:rsidR="00CC3CB9">
              <w:rPr>
                <w:rFonts w:ascii="Calibri" w:hAnsi="Calibri" w:cs="Calibri"/>
                <w:color w:val="000000"/>
                <w:sz w:val="18"/>
                <w:szCs w:val="18"/>
              </w:rPr>
              <w:t>384</w:t>
            </w:r>
            <w:r w:rsidRPr="001B7135">
              <w:rPr>
                <w:rFonts w:ascii="Calibri" w:hAnsi="Calibri" w:cs="Calibri"/>
                <w:color w:val="000000"/>
                <w:sz w:val="18"/>
                <w:szCs w:val="18"/>
              </w:rPr>
              <w:t xml:space="preserve"> </w:t>
            </w:r>
          </w:p>
          <w:p w14:paraId="27C21855" w14:textId="3FE770BA" w:rsidR="001B7135" w:rsidRPr="001B7135" w:rsidRDefault="001B7135" w:rsidP="001B7135">
            <w:pPr>
              <w:jc w:val="right"/>
              <w:rPr>
                <w:rFonts w:ascii="Calibri" w:hAnsi="Calibri" w:cs="Calibri"/>
                <w:color w:val="000000"/>
                <w:sz w:val="18"/>
                <w:szCs w:val="18"/>
              </w:rPr>
            </w:pPr>
          </w:p>
        </w:tc>
        <w:tc>
          <w:tcPr>
            <w:tcW w:w="1637" w:type="dxa"/>
            <w:tcBorders>
              <w:top w:val="nil"/>
              <w:left w:val="nil"/>
              <w:bottom w:val="single" w:sz="4" w:space="0" w:color="auto"/>
              <w:right w:val="single" w:sz="4" w:space="0" w:color="auto"/>
            </w:tcBorders>
            <w:shd w:val="clear" w:color="auto" w:fill="auto"/>
            <w:noWrap/>
            <w:vAlign w:val="bottom"/>
            <w:hideMark/>
          </w:tcPr>
          <w:p w14:paraId="5C2C2D73" w14:textId="43EFD869" w:rsidR="001B7135" w:rsidRPr="001B7135" w:rsidRDefault="001B7135" w:rsidP="001B7135">
            <w:pPr>
              <w:jc w:val="right"/>
              <w:rPr>
                <w:rFonts w:ascii="Calibri" w:hAnsi="Calibri" w:cs="Calibri"/>
                <w:color w:val="000000"/>
                <w:sz w:val="18"/>
                <w:szCs w:val="18"/>
              </w:rPr>
            </w:pPr>
            <w:r w:rsidRPr="001B7135">
              <w:rPr>
                <w:rFonts w:ascii="Calibri" w:hAnsi="Calibri" w:cs="Calibri"/>
                <w:color w:val="000000"/>
                <w:sz w:val="18"/>
                <w:szCs w:val="18"/>
              </w:rPr>
              <w:t xml:space="preserve"> $      5</w:t>
            </w:r>
            <w:r w:rsidR="00CC3CB9">
              <w:rPr>
                <w:rFonts w:ascii="Calibri" w:hAnsi="Calibri" w:cs="Calibri"/>
                <w:color w:val="000000"/>
                <w:sz w:val="18"/>
                <w:szCs w:val="18"/>
              </w:rPr>
              <w:t>2</w:t>
            </w:r>
            <w:r w:rsidRPr="001B7135">
              <w:rPr>
                <w:rFonts w:ascii="Calibri" w:hAnsi="Calibri" w:cs="Calibri"/>
                <w:color w:val="000000"/>
                <w:sz w:val="18"/>
                <w:szCs w:val="18"/>
              </w:rPr>
              <w:t>,</w:t>
            </w:r>
            <w:r w:rsidR="00CC3CB9">
              <w:rPr>
                <w:rFonts w:ascii="Calibri" w:hAnsi="Calibri" w:cs="Calibri"/>
                <w:color w:val="000000"/>
                <w:sz w:val="18"/>
                <w:szCs w:val="18"/>
              </w:rPr>
              <w:t>004</w:t>
            </w:r>
            <w:r w:rsidRPr="001B7135">
              <w:rPr>
                <w:rFonts w:ascii="Calibri" w:hAnsi="Calibri" w:cs="Calibri"/>
                <w:color w:val="000000"/>
                <w:sz w:val="18"/>
                <w:szCs w:val="18"/>
              </w:rPr>
              <w:t>,</w:t>
            </w:r>
            <w:r w:rsidR="00CC3CB9">
              <w:rPr>
                <w:rFonts w:ascii="Calibri" w:hAnsi="Calibri" w:cs="Calibri"/>
                <w:color w:val="000000"/>
                <w:sz w:val="18"/>
                <w:szCs w:val="18"/>
              </w:rPr>
              <w:t>084</w:t>
            </w:r>
            <w:r w:rsidRPr="001B7135">
              <w:rPr>
                <w:rFonts w:ascii="Calibri" w:hAnsi="Calibri" w:cs="Calibri"/>
                <w:color w:val="000000"/>
                <w:sz w:val="18"/>
                <w:szCs w:val="18"/>
              </w:rPr>
              <w:t xml:space="preserve"> </w:t>
            </w:r>
          </w:p>
        </w:tc>
      </w:tr>
    </w:tbl>
    <w:p w14:paraId="7BE48BE3" w14:textId="77777777" w:rsidR="00D30A89" w:rsidRPr="00864420" w:rsidRDefault="00D30A89" w:rsidP="0037207E">
      <w:pPr>
        <w:pStyle w:val="Testimony"/>
        <w:widowControl/>
        <w:tabs>
          <w:tab w:val="clear" w:pos="2160"/>
          <w:tab w:val="left" w:pos="1980"/>
        </w:tabs>
        <w:spacing w:line="456" w:lineRule="auto"/>
        <w:ind w:firstLine="86"/>
        <w:jc w:val="center"/>
        <w:rPr>
          <w:rFonts w:ascii="Courier New" w:hAnsi="Courier New" w:cs="Courier New"/>
          <w:sz w:val="20"/>
        </w:rPr>
      </w:pPr>
    </w:p>
    <w:p w14:paraId="09D76B2B" w14:textId="77777777" w:rsidR="00EA544F" w:rsidRPr="00022A04" w:rsidRDefault="00EA544F" w:rsidP="00864420">
      <w:pPr>
        <w:pStyle w:val="Testimony"/>
        <w:widowControl/>
        <w:tabs>
          <w:tab w:val="clear" w:pos="2160"/>
          <w:tab w:val="left" w:pos="1980"/>
        </w:tabs>
        <w:spacing w:line="456" w:lineRule="auto"/>
        <w:rPr>
          <w:rFonts w:ascii="Courier New" w:hAnsi="Courier New" w:cs="Courier New"/>
        </w:rPr>
      </w:pPr>
      <w:r w:rsidRPr="00022A04">
        <w:rPr>
          <w:rFonts w:ascii="Courier New" w:hAnsi="Courier New" w:cs="Courier New"/>
        </w:rPr>
        <w:t>Q.</w:t>
      </w:r>
      <w:r w:rsidRPr="00022A04">
        <w:rPr>
          <w:rFonts w:ascii="Courier New" w:hAnsi="Courier New" w:cs="Courier New"/>
        </w:rPr>
        <w:tab/>
        <w:t xml:space="preserve">What general conclusions can be drawn from the information contained in Table </w:t>
      </w:r>
      <w:r w:rsidR="0037207E">
        <w:rPr>
          <w:rFonts w:ascii="Courier New" w:hAnsi="Courier New" w:cs="Courier New"/>
        </w:rPr>
        <w:t>3</w:t>
      </w:r>
      <w:r w:rsidRPr="00022A04">
        <w:rPr>
          <w:rFonts w:ascii="Courier New" w:hAnsi="Courier New" w:cs="Courier New"/>
        </w:rPr>
        <w:t>?</w:t>
      </w:r>
    </w:p>
    <w:p w14:paraId="28371316" w14:textId="768D6E9A" w:rsidR="00EA544F" w:rsidRPr="00022A04" w:rsidRDefault="00EA544F" w:rsidP="00864420">
      <w:pPr>
        <w:pStyle w:val="Testimony"/>
        <w:widowControl/>
        <w:tabs>
          <w:tab w:val="clear" w:pos="2160"/>
          <w:tab w:val="left" w:pos="1980"/>
        </w:tabs>
        <w:spacing w:line="456" w:lineRule="auto"/>
        <w:rPr>
          <w:rFonts w:ascii="Courier New" w:hAnsi="Courier New" w:cs="Courier New"/>
        </w:rPr>
      </w:pPr>
      <w:r w:rsidRPr="00022A04">
        <w:rPr>
          <w:rFonts w:ascii="Courier New" w:hAnsi="Courier New" w:cs="Courier New"/>
        </w:rPr>
        <w:t>A.</w:t>
      </w:r>
      <w:r w:rsidRPr="00022A04">
        <w:rPr>
          <w:rFonts w:ascii="Courier New" w:hAnsi="Courier New" w:cs="Courier New"/>
        </w:rPr>
        <w:tab/>
        <w:t>When viewed by category, the 95 percent sharing accoun</w:t>
      </w:r>
      <w:r w:rsidR="00D77571" w:rsidRPr="00022A04">
        <w:rPr>
          <w:rFonts w:ascii="Courier New" w:hAnsi="Courier New" w:cs="Courier New"/>
        </w:rPr>
        <w:t xml:space="preserve">ts </w:t>
      </w:r>
      <w:r w:rsidR="00F415FD" w:rsidRPr="00022A04">
        <w:rPr>
          <w:rFonts w:ascii="Courier New" w:hAnsi="Courier New" w:cs="Courier New"/>
        </w:rPr>
        <w:t>have</w:t>
      </w:r>
      <w:r w:rsidR="00D77571" w:rsidRPr="00022A04">
        <w:rPr>
          <w:rFonts w:ascii="Courier New" w:hAnsi="Courier New" w:cs="Courier New"/>
        </w:rPr>
        <w:t xml:space="preserve"> </w:t>
      </w:r>
      <w:r w:rsidR="00111C0D">
        <w:rPr>
          <w:rFonts w:ascii="Courier New" w:hAnsi="Courier New" w:cs="Courier New"/>
        </w:rPr>
        <w:t>in</w:t>
      </w:r>
      <w:r w:rsidRPr="00022A04">
        <w:rPr>
          <w:rFonts w:ascii="Courier New" w:hAnsi="Courier New" w:cs="Courier New"/>
        </w:rPr>
        <w:t>crease</w:t>
      </w:r>
      <w:r w:rsidR="00F415FD" w:rsidRPr="00022A04">
        <w:rPr>
          <w:rFonts w:ascii="Courier New" w:hAnsi="Courier New" w:cs="Courier New"/>
        </w:rPr>
        <w:t>d</w:t>
      </w:r>
      <w:r w:rsidRPr="00022A04">
        <w:rPr>
          <w:rFonts w:ascii="Courier New" w:hAnsi="Courier New" w:cs="Courier New"/>
        </w:rPr>
        <w:t xml:space="preserve"> approximately $</w:t>
      </w:r>
      <w:r w:rsidR="003D5C49">
        <w:rPr>
          <w:rFonts w:ascii="Courier New" w:hAnsi="Courier New" w:cs="Courier New"/>
        </w:rPr>
        <w:t>4</w:t>
      </w:r>
      <w:r w:rsidR="001B7135">
        <w:rPr>
          <w:rFonts w:ascii="Courier New" w:hAnsi="Courier New" w:cs="Courier New"/>
        </w:rPr>
        <w:t>3</w:t>
      </w:r>
      <w:r w:rsidR="00D30A89">
        <w:rPr>
          <w:rFonts w:ascii="Courier New" w:hAnsi="Courier New" w:cs="Courier New"/>
        </w:rPr>
        <w:t>.</w:t>
      </w:r>
      <w:r w:rsidR="001B7135">
        <w:rPr>
          <w:rFonts w:ascii="Courier New" w:hAnsi="Courier New" w:cs="Courier New"/>
        </w:rPr>
        <w:t>2</w:t>
      </w:r>
      <w:r w:rsidRPr="00022A04">
        <w:rPr>
          <w:rFonts w:ascii="Courier New" w:hAnsi="Courier New" w:cs="Courier New"/>
        </w:rPr>
        <w:t xml:space="preserve"> million from last year’s forecast, while the 100 percent sharing accounts </w:t>
      </w:r>
      <w:r w:rsidR="00F415FD" w:rsidRPr="00022A04">
        <w:rPr>
          <w:rFonts w:ascii="Courier New" w:hAnsi="Courier New" w:cs="Courier New"/>
        </w:rPr>
        <w:t>have</w:t>
      </w:r>
      <w:r w:rsidRPr="00022A04">
        <w:rPr>
          <w:rFonts w:ascii="Courier New" w:hAnsi="Courier New" w:cs="Courier New"/>
        </w:rPr>
        <w:t xml:space="preserve"> increase</w:t>
      </w:r>
      <w:r w:rsidR="00F415FD" w:rsidRPr="00022A04">
        <w:rPr>
          <w:rFonts w:ascii="Courier New" w:hAnsi="Courier New" w:cs="Courier New"/>
        </w:rPr>
        <w:t>d</w:t>
      </w:r>
      <w:r w:rsidRPr="00022A04">
        <w:rPr>
          <w:rFonts w:ascii="Courier New" w:hAnsi="Courier New" w:cs="Courier New"/>
        </w:rPr>
        <w:t xml:space="preserve"> approximately </w:t>
      </w:r>
      <w:r w:rsidR="00D77571" w:rsidRPr="00022A04">
        <w:rPr>
          <w:rFonts w:ascii="Courier New" w:hAnsi="Courier New" w:cs="Courier New"/>
        </w:rPr>
        <w:t>$</w:t>
      </w:r>
      <w:r w:rsidR="00D30A89">
        <w:rPr>
          <w:rFonts w:ascii="Courier New" w:hAnsi="Courier New" w:cs="Courier New"/>
        </w:rPr>
        <w:t>8</w:t>
      </w:r>
      <w:r w:rsidR="006128C2">
        <w:rPr>
          <w:rFonts w:ascii="Courier New" w:hAnsi="Courier New" w:cs="Courier New"/>
        </w:rPr>
        <w:t>.</w:t>
      </w:r>
      <w:r w:rsidR="001B7135">
        <w:rPr>
          <w:rFonts w:ascii="Courier New" w:hAnsi="Courier New" w:cs="Courier New"/>
        </w:rPr>
        <w:t>8</w:t>
      </w:r>
      <w:r w:rsidRPr="00022A04">
        <w:rPr>
          <w:rFonts w:ascii="Courier New" w:hAnsi="Courier New" w:cs="Courier New"/>
        </w:rPr>
        <w:t xml:space="preserve"> million over last year’s forecast.</w:t>
      </w:r>
      <w:r w:rsidR="003C34F6" w:rsidRPr="00022A04">
        <w:rPr>
          <w:rFonts w:ascii="Courier New" w:hAnsi="Courier New" w:cs="Courier New"/>
        </w:rPr>
        <w:t xml:space="preserve"> </w:t>
      </w:r>
    </w:p>
    <w:p w14:paraId="63E3EAE3" w14:textId="77777777" w:rsidR="00C446B7" w:rsidRPr="00022A04" w:rsidRDefault="00AA743C" w:rsidP="00C446B7">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Q.</w:t>
      </w:r>
      <w:r>
        <w:rPr>
          <w:rFonts w:ascii="Courier New" w:hAnsi="Courier New" w:cs="Courier New"/>
        </w:rPr>
        <w:tab/>
      </w:r>
      <w:r w:rsidR="00C446B7" w:rsidRPr="00022A04">
        <w:rPr>
          <w:rFonts w:ascii="Courier New" w:hAnsi="Courier New" w:cs="Courier New"/>
        </w:rPr>
        <w:t xml:space="preserve">What factors are contributing to the major differences presented in Table </w:t>
      </w:r>
      <w:r w:rsidR="00C446B7">
        <w:rPr>
          <w:rFonts w:ascii="Courier New" w:hAnsi="Courier New" w:cs="Courier New"/>
        </w:rPr>
        <w:t>3</w:t>
      </w:r>
      <w:r w:rsidR="00C446B7" w:rsidRPr="00022A04">
        <w:rPr>
          <w:rFonts w:ascii="Courier New" w:hAnsi="Courier New" w:cs="Courier New"/>
        </w:rPr>
        <w:t xml:space="preserve">? </w:t>
      </w:r>
    </w:p>
    <w:p w14:paraId="39B6F3A3" w14:textId="61A986F5" w:rsidR="00C446B7" w:rsidRDefault="00AA743C" w:rsidP="00057313">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A.</w:t>
      </w:r>
      <w:r>
        <w:rPr>
          <w:rFonts w:ascii="Courier New" w:hAnsi="Courier New" w:cs="Courier New"/>
        </w:rPr>
        <w:tab/>
      </w:r>
      <w:r w:rsidR="001A2E42">
        <w:rPr>
          <w:rFonts w:ascii="Courier New" w:hAnsi="Courier New" w:cs="Courier New"/>
        </w:rPr>
        <w:t xml:space="preserve">Forecast expenses included in the 95 percent sharing accounts are expected to increase by </w:t>
      </w:r>
      <w:r w:rsidR="001B7135">
        <w:rPr>
          <w:rFonts w:ascii="Courier New" w:hAnsi="Courier New" w:cs="Courier New"/>
        </w:rPr>
        <w:t>16</w:t>
      </w:r>
      <w:r w:rsidR="001A2E42">
        <w:rPr>
          <w:rFonts w:ascii="Courier New" w:hAnsi="Courier New" w:cs="Courier New"/>
        </w:rPr>
        <w:t xml:space="preserve"> percent as compared to last year, from $</w:t>
      </w:r>
      <w:r w:rsidR="001B7135">
        <w:rPr>
          <w:rFonts w:ascii="Courier New" w:hAnsi="Courier New" w:cs="Courier New"/>
        </w:rPr>
        <w:t>268,793,342</w:t>
      </w:r>
      <w:r w:rsidR="00D05BF2">
        <w:rPr>
          <w:rFonts w:ascii="Courier New" w:hAnsi="Courier New" w:cs="Courier New"/>
        </w:rPr>
        <w:t xml:space="preserve"> </w:t>
      </w:r>
      <w:r w:rsidR="001A2E42">
        <w:rPr>
          <w:rFonts w:ascii="Courier New" w:hAnsi="Courier New" w:cs="Courier New"/>
        </w:rPr>
        <w:t>to $</w:t>
      </w:r>
      <w:r w:rsidR="001B7135">
        <w:rPr>
          <w:rFonts w:ascii="Courier New" w:hAnsi="Courier New" w:cs="Courier New"/>
        </w:rPr>
        <w:t>311,97</w:t>
      </w:r>
      <w:r w:rsidR="00CC3CB9">
        <w:rPr>
          <w:rFonts w:ascii="Courier New" w:hAnsi="Courier New" w:cs="Courier New"/>
        </w:rPr>
        <w:t>9</w:t>
      </w:r>
      <w:r w:rsidR="001B7135">
        <w:rPr>
          <w:rFonts w:ascii="Courier New" w:hAnsi="Courier New" w:cs="Courier New"/>
        </w:rPr>
        <w:t>,4</w:t>
      </w:r>
      <w:r w:rsidR="00CC3CB9">
        <w:rPr>
          <w:rFonts w:ascii="Courier New" w:hAnsi="Courier New" w:cs="Courier New"/>
        </w:rPr>
        <w:t>64</w:t>
      </w:r>
      <w:r w:rsidR="001A2E42">
        <w:rPr>
          <w:rFonts w:ascii="Courier New" w:hAnsi="Courier New" w:cs="Courier New"/>
        </w:rPr>
        <w:t>.</w:t>
      </w:r>
      <w:r w:rsidR="003F1247">
        <w:rPr>
          <w:rFonts w:ascii="Courier New" w:hAnsi="Courier New" w:cs="Courier New"/>
        </w:rPr>
        <w:t xml:space="preserve">  </w:t>
      </w:r>
      <w:r w:rsidR="00314997">
        <w:rPr>
          <w:rFonts w:ascii="Courier New" w:hAnsi="Courier New" w:cs="Courier New"/>
        </w:rPr>
        <w:t xml:space="preserve">Due to the limited coal supply, </w:t>
      </w:r>
      <w:r w:rsidR="00057313" w:rsidRPr="00740137">
        <w:rPr>
          <w:rFonts w:ascii="Courier New" w:hAnsi="Courier New" w:cs="Courier New"/>
        </w:rPr>
        <w:t xml:space="preserve">the Company expects </w:t>
      </w:r>
      <w:r w:rsidR="00057313">
        <w:rPr>
          <w:rFonts w:ascii="Courier New" w:hAnsi="Courier New" w:cs="Courier New"/>
        </w:rPr>
        <w:t xml:space="preserve">to rely </w:t>
      </w:r>
      <w:r w:rsidR="008C08C7">
        <w:rPr>
          <w:rFonts w:ascii="Courier New" w:hAnsi="Courier New" w:cs="Courier New"/>
        </w:rPr>
        <w:lastRenderedPageBreak/>
        <w:t>more on</w:t>
      </w:r>
      <w:r w:rsidR="00057313">
        <w:rPr>
          <w:rFonts w:ascii="Courier New" w:hAnsi="Courier New" w:cs="Courier New"/>
        </w:rPr>
        <w:t xml:space="preserve"> </w:t>
      </w:r>
      <w:r w:rsidR="00800444">
        <w:rPr>
          <w:rFonts w:ascii="Courier New" w:hAnsi="Courier New" w:cs="Courier New"/>
        </w:rPr>
        <w:t>natural gas</w:t>
      </w:r>
      <w:r w:rsidR="00057313">
        <w:rPr>
          <w:rFonts w:ascii="Courier New" w:hAnsi="Courier New" w:cs="Courier New"/>
        </w:rPr>
        <w:t xml:space="preserve"> generation</w:t>
      </w:r>
      <w:r w:rsidR="00800444">
        <w:rPr>
          <w:rFonts w:ascii="Courier New" w:hAnsi="Courier New" w:cs="Courier New"/>
        </w:rPr>
        <w:t xml:space="preserve"> and </w:t>
      </w:r>
      <w:r w:rsidR="00314997">
        <w:rPr>
          <w:rFonts w:ascii="Courier New" w:hAnsi="Courier New" w:cs="Courier New"/>
        </w:rPr>
        <w:t>purchased power</w:t>
      </w:r>
      <w:r w:rsidR="00057313">
        <w:rPr>
          <w:rFonts w:ascii="Courier New" w:hAnsi="Courier New" w:cs="Courier New"/>
        </w:rPr>
        <w:t xml:space="preserve"> to </w:t>
      </w:r>
      <w:r w:rsidR="00AC5408">
        <w:rPr>
          <w:rFonts w:ascii="Courier New" w:hAnsi="Courier New" w:cs="Courier New"/>
        </w:rPr>
        <w:t>serve</w:t>
      </w:r>
      <w:r w:rsidR="000C13A0">
        <w:rPr>
          <w:rFonts w:ascii="Courier New" w:hAnsi="Courier New" w:cs="Courier New"/>
        </w:rPr>
        <w:t xml:space="preserve"> load</w:t>
      </w:r>
      <w:r w:rsidR="001B7135">
        <w:rPr>
          <w:rFonts w:ascii="Courier New" w:hAnsi="Courier New" w:cs="Courier New"/>
        </w:rPr>
        <w:t xml:space="preserve"> in the 2023-2024 PCA Year</w:t>
      </w:r>
      <w:r w:rsidR="00800444">
        <w:rPr>
          <w:rFonts w:ascii="Courier New" w:hAnsi="Courier New" w:cs="Courier New"/>
        </w:rPr>
        <w:t>.</w:t>
      </w:r>
    </w:p>
    <w:p w14:paraId="58BDA455" w14:textId="0320E448" w:rsidR="00800444" w:rsidRPr="00022A04" w:rsidRDefault="00800444" w:rsidP="00800444">
      <w:pPr>
        <w:pStyle w:val="Testimony"/>
        <w:widowControl/>
        <w:tabs>
          <w:tab w:val="clear" w:pos="2160"/>
          <w:tab w:val="left" w:pos="1980"/>
        </w:tabs>
        <w:spacing w:line="456" w:lineRule="auto"/>
        <w:rPr>
          <w:rFonts w:ascii="Courier New" w:hAnsi="Courier New" w:cs="Courier New"/>
        </w:rPr>
      </w:pPr>
      <w:r w:rsidRPr="00022A04">
        <w:rPr>
          <w:rFonts w:ascii="Courier New" w:hAnsi="Courier New" w:cs="Courier New"/>
        </w:rPr>
        <w:t>Q.</w:t>
      </w:r>
      <w:r>
        <w:rPr>
          <w:rFonts w:ascii="Courier New" w:hAnsi="Courier New" w:cs="Courier New"/>
        </w:rPr>
        <w:tab/>
        <w:t xml:space="preserve">Please explain the circumstances that led to the Company’s limited coal supply.   </w:t>
      </w:r>
    </w:p>
    <w:p w14:paraId="7C022F4F" w14:textId="77777777" w:rsidR="00A55F67" w:rsidRDefault="00800444" w:rsidP="00800444">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A.</w:t>
      </w:r>
      <w:r>
        <w:rPr>
          <w:rFonts w:ascii="Courier New" w:hAnsi="Courier New" w:cs="Courier New"/>
        </w:rPr>
        <w:tab/>
      </w:r>
      <w:r w:rsidR="00A55F67">
        <w:rPr>
          <w:rFonts w:ascii="Courier New" w:hAnsi="Courier New" w:cs="Courier New"/>
        </w:rPr>
        <w:t xml:space="preserve">Global natural gas supply and demand disruptions over the last several months, stemming from the Russian invasion of Ukraine and sabotage of the Nord Stream pipelines, have caused price escalation and volatility in the natural gas and energy markets. </w:t>
      </w:r>
    </w:p>
    <w:p w14:paraId="77AE06DB" w14:textId="79B05036" w:rsidR="00A55F67" w:rsidRDefault="00A55F67" w:rsidP="00800444">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As the same time, the U.S. has been ramping down its coal production, limiting the supply of coal available to the electric utility sector. Similarly, production capabilities at Bridger Coal Company (“BCC”) have decreased as a result of the closing of the underground mining operations at the end of 2021.</w:t>
      </w:r>
    </w:p>
    <w:p w14:paraId="7391FCAC" w14:textId="37201A17" w:rsidR="00610C3C" w:rsidRDefault="00A55F67" w:rsidP="00800444">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 xml:space="preserve"> As a result of the price escalation and volatility in the natural gas and energy markets throughout 2022, Idaho Power increased its reliance on coal-fired generation</w:t>
      </w:r>
      <w:r w:rsidR="001B7135">
        <w:rPr>
          <w:rFonts w:ascii="Courier New" w:hAnsi="Courier New" w:cs="Courier New"/>
        </w:rPr>
        <w:t xml:space="preserve"> to serve load</w:t>
      </w:r>
      <w:r>
        <w:rPr>
          <w:rFonts w:ascii="Courier New" w:hAnsi="Courier New" w:cs="Courier New"/>
        </w:rPr>
        <w:t xml:space="preserve">. Actual coal-fired generation for the first 9 months of 2022 </w:t>
      </w:r>
      <w:r w:rsidR="001B7135">
        <w:rPr>
          <w:rFonts w:ascii="Courier New" w:hAnsi="Courier New" w:cs="Courier New"/>
        </w:rPr>
        <w:t>was</w:t>
      </w:r>
      <w:r>
        <w:rPr>
          <w:rFonts w:ascii="Courier New" w:hAnsi="Courier New" w:cs="Courier New"/>
        </w:rPr>
        <w:t xml:space="preserve"> 50 percent higher than the same period in 2021, and 30 percent higher than the 5-year average for the period. </w:t>
      </w:r>
    </w:p>
    <w:p w14:paraId="5C8B24CE" w14:textId="77777777" w:rsidR="00253FD9" w:rsidRDefault="00253FD9" w:rsidP="00253FD9">
      <w:pPr>
        <w:pStyle w:val="Testimony"/>
        <w:widowControl/>
        <w:tabs>
          <w:tab w:val="clear" w:pos="2160"/>
          <w:tab w:val="left" w:pos="1980"/>
        </w:tabs>
        <w:spacing w:line="456" w:lineRule="auto"/>
        <w:rPr>
          <w:rFonts w:ascii="Courier New" w:hAnsi="Courier New" w:cs="Courier New"/>
        </w:rPr>
      </w:pPr>
      <w:r w:rsidRPr="00610C3C">
        <w:rPr>
          <w:rFonts w:ascii="Courier New" w:hAnsi="Courier New" w:cs="Courier New"/>
        </w:rPr>
        <w:t xml:space="preserve">The increase in coal-fired generation </w:t>
      </w:r>
      <w:r>
        <w:rPr>
          <w:rFonts w:ascii="Courier New" w:hAnsi="Courier New" w:cs="Courier New"/>
        </w:rPr>
        <w:t>in</w:t>
      </w:r>
      <w:r w:rsidRPr="00610C3C">
        <w:rPr>
          <w:rFonts w:ascii="Courier New" w:hAnsi="Courier New" w:cs="Courier New"/>
        </w:rPr>
        <w:t xml:space="preserve"> 2022, combined with the closure of the underground mine at BCC, has resulted in a limited supply of coal available for use </w:t>
      </w:r>
      <w:r w:rsidRPr="00610C3C">
        <w:rPr>
          <w:rFonts w:ascii="Courier New" w:hAnsi="Courier New" w:cs="Courier New"/>
        </w:rPr>
        <w:lastRenderedPageBreak/>
        <w:t xml:space="preserve">in 2023. Coal </w:t>
      </w:r>
      <w:r>
        <w:rPr>
          <w:rFonts w:ascii="Courier New" w:hAnsi="Courier New" w:cs="Courier New"/>
        </w:rPr>
        <w:t>availability</w:t>
      </w:r>
      <w:r w:rsidRPr="00610C3C">
        <w:rPr>
          <w:rFonts w:ascii="Courier New" w:hAnsi="Courier New" w:cs="Courier New"/>
        </w:rPr>
        <w:t xml:space="preserve"> is expected to improve in 2024, however, when Bridger Units 1 and 2 are converted to natural gas fired units, </w:t>
      </w:r>
      <w:r>
        <w:rPr>
          <w:rFonts w:ascii="Courier New" w:hAnsi="Courier New" w:cs="Courier New"/>
        </w:rPr>
        <w:t xml:space="preserve">thus </w:t>
      </w:r>
      <w:r w:rsidRPr="00610C3C">
        <w:rPr>
          <w:rFonts w:ascii="Courier New" w:hAnsi="Courier New" w:cs="Courier New"/>
        </w:rPr>
        <w:t xml:space="preserve">reducing Idaho Power’s coal-fired fleet from 5 units to 3 units.   </w:t>
      </w:r>
    </w:p>
    <w:p w14:paraId="0AD59C7C" w14:textId="77777777" w:rsidR="00253FD9" w:rsidRPr="00022A04" w:rsidRDefault="00253FD9" w:rsidP="00253FD9">
      <w:pPr>
        <w:pStyle w:val="Testimony"/>
        <w:widowControl/>
        <w:tabs>
          <w:tab w:val="clear" w:pos="2160"/>
          <w:tab w:val="left" w:pos="1980"/>
        </w:tabs>
        <w:spacing w:line="456" w:lineRule="auto"/>
        <w:rPr>
          <w:rFonts w:ascii="Courier New" w:hAnsi="Courier New" w:cs="Courier New"/>
        </w:rPr>
      </w:pPr>
      <w:r w:rsidRPr="00022A04">
        <w:rPr>
          <w:rFonts w:ascii="Courier New" w:hAnsi="Courier New" w:cs="Courier New"/>
        </w:rPr>
        <w:t>Q.</w:t>
      </w:r>
      <w:r>
        <w:rPr>
          <w:rFonts w:ascii="Courier New" w:hAnsi="Courier New" w:cs="Courier New"/>
        </w:rPr>
        <w:tab/>
        <w:t xml:space="preserve">How is Idaho Power working to limit the customer impact of the current coal constraints at the Bridger plant?    </w:t>
      </w:r>
    </w:p>
    <w:p w14:paraId="39F15124" w14:textId="1FCC9BB5" w:rsidR="00206120" w:rsidRDefault="00610C3C" w:rsidP="00610C3C">
      <w:pPr>
        <w:pStyle w:val="Testimony"/>
        <w:tabs>
          <w:tab w:val="left" w:pos="1980"/>
        </w:tabs>
        <w:spacing w:line="456" w:lineRule="auto"/>
        <w:rPr>
          <w:rFonts w:ascii="Courier New" w:hAnsi="Courier New" w:cs="Courier New"/>
        </w:rPr>
      </w:pPr>
      <w:r>
        <w:rPr>
          <w:rFonts w:ascii="Courier New" w:hAnsi="Courier New" w:cs="Courier New"/>
        </w:rPr>
        <w:t>A.</w:t>
      </w:r>
      <w:r>
        <w:rPr>
          <w:rFonts w:ascii="Courier New" w:hAnsi="Courier New" w:cs="Courier New"/>
        </w:rPr>
        <w:tab/>
      </w:r>
      <w:r w:rsidRPr="00610C3C">
        <w:rPr>
          <w:rFonts w:ascii="Courier New" w:hAnsi="Courier New" w:cs="Courier New"/>
        </w:rPr>
        <w:t xml:space="preserve">Idaho Power plans to use 100 percent of the available production capacity from BCC through 2023. Idaho Power is actively working with its operating partner at BCC, PacifiCorp, to identify opportunities to maximize coal production with existing infrastructure, resources, and equipment. </w:t>
      </w:r>
    </w:p>
    <w:p w14:paraId="728D6343" w14:textId="6D0B823C" w:rsidR="00610C3C" w:rsidRDefault="00E0105B" w:rsidP="00610C3C">
      <w:pPr>
        <w:pStyle w:val="Testimony"/>
        <w:tabs>
          <w:tab w:val="left" w:pos="1980"/>
        </w:tabs>
        <w:spacing w:line="456" w:lineRule="auto"/>
        <w:rPr>
          <w:rFonts w:ascii="Courier New" w:hAnsi="Courier New" w:cs="Courier New"/>
        </w:rPr>
      </w:pPr>
      <w:r>
        <w:rPr>
          <w:rFonts w:ascii="Courier New" w:hAnsi="Courier New" w:cs="Courier New"/>
        </w:rPr>
        <w:t>In addition to utilizing 100 percent of available production capacity at BCC, t</w:t>
      </w:r>
      <w:r w:rsidR="00610C3C">
        <w:rPr>
          <w:rFonts w:ascii="Courier New" w:hAnsi="Courier New" w:cs="Courier New"/>
        </w:rPr>
        <w:t>he</w:t>
      </w:r>
      <w:r w:rsidR="00610C3C" w:rsidRPr="00610C3C">
        <w:rPr>
          <w:rFonts w:ascii="Courier New" w:hAnsi="Courier New" w:cs="Courier New"/>
        </w:rPr>
        <w:t xml:space="preserve"> Company has</w:t>
      </w:r>
      <w:r w:rsidR="00610C3C">
        <w:rPr>
          <w:rFonts w:ascii="Courier New" w:hAnsi="Courier New" w:cs="Courier New"/>
        </w:rPr>
        <w:t xml:space="preserve"> </w:t>
      </w:r>
      <w:r w:rsidR="00610C3C" w:rsidRPr="00610C3C">
        <w:rPr>
          <w:rFonts w:ascii="Courier New" w:hAnsi="Courier New" w:cs="Courier New"/>
        </w:rPr>
        <w:t>secured all available coal from</w:t>
      </w:r>
      <w:r w:rsidR="00610C3C">
        <w:rPr>
          <w:rFonts w:ascii="Courier New" w:hAnsi="Courier New" w:cs="Courier New"/>
        </w:rPr>
        <w:t xml:space="preserve"> its primary</w:t>
      </w:r>
      <w:r w:rsidR="00610C3C" w:rsidRPr="00610C3C">
        <w:rPr>
          <w:rFonts w:ascii="Courier New" w:hAnsi="Courier New" w:cs="Courier New"/>
        </w:rPr>
        <w:t xml:space="preserve"> third</w:t>
      </w:r>
      <w:r w:rsidR="00610C3C">
        <w:rPr>
          <w:rFonts w:ascii="Courier New" w:hAnsi="Courier New" w:cs="Courier New"/>
        </w:rPr>
        <w:t>-</w:t>
      </w:r>
      <w:r w:rsidR="00610C3C" w:rsidRPr="00610C3C">
        <w:rPr>
          <w:rFonts w:ascii="Courier New" w:hAnsi="Courier New" w:cs="Courier New"/>
        </w:rPr>
        <w:t>party supplier</w:t>
      </w:r>
      <w:r w:rsidR="00610C3C">
        <w:rPr>
          <w:rFonts w:ascii="Courier New" w:hAnsi="Courier New" w:cs="Courier New"/>
        </w:rPr>
        <w:t>, Black Butte Coal Company,</w:t>
      </w:r>
      <w:r w:rsidR="00610C3C" w:rsidRPr="00610C3C">
        <w:rPr>
          <w:rFonts w:ascii="Courier New" w:hAnsi="Courier New" w:cs="Courier New"/>
        </w:rPr>
        <w:t xml:space="preserve"> through 2023. </w:t>
      </w:r>
    </w:p>
    <w:p w14:paraId="295750AC" w14:textId="6AE8C60C" w:rsidR="00610C3C" w:rsidRDefault="00610C3C" w:rsidP="00610C3C">
      <w:pPr>
        <w:pStyle w:val="Testimony"/>
        <w:tabs>
          <w:tab w:val="left" w:pos="1980"/>
        </w:tabs>
        <w:spacing w:line="456" w:lineRule="auto"/>
      </w:pPr>
      <w:r>
        <w:t>Idaho Power</w:t>
      </w:r>
      <w:r w:rsidR="00EC53BF">
        <w:t xml:space="preserve"> has</w:t>
      </w:r>
      <w:r>
        <w:t xml:space="preserve"> </w:t>
      </w:r>
      <w:r w:rsidR="00EC53BF">
        <w:t xml:space="preserve">also </w:t>
      </w:r>
      <w:r>
        <w:t xml:space="preserve">recently secured rail transportation that will allow for approximately 200,000 tons of spot coal to be delivered from the Powder River Basin (“PRB”) to the Bridger plant beginning in May 2023 through December 2023. While PRB coal has not been utilized at Bridger as a base fuel supply source to date due to its high propensity to spontaneously combust, the plant is capable of consuming </w:t>
      </w:r>
      <w:r w:rsidR="00E0105B">
        <w:t xml:space="preserve">PRB coal on a limited scale. Idaho </w:t>
      </w:r>
      <w:r w:rsidR="00E0105B">
        <w:lastRenderedPageBreak/>
        <w:t>Power intends to rely on as much PRB coal as can be delivered and burned</w:t>
      </w:r>
      <w:r w:rsidR="00EC53BF">
        <w:t xml:space="preserve"> safely</w:t>
      </w:r>
      <w:r w:rsidR="00E0105B">
        <w:t xml:space="preserve"> at the plant in 2023. </w:t>
      </w:r>
    </w:p>
    <w:p w14:paraId="6F088B3B" w14:textId="77777777" w:rsidR="00253FD9" w:rsidRDefault="00253FD9" w:rsidP="00253FD9">
      <w:pPr>
        <w:pStyle w:val="Testimony"/>
        <w:tabs>
          <w:tab w:val="left" w:pos="1980"/>
        </w:tabs>
        <w:spacing w:line="456" w:lineRule="auto"/>
        <w:rPr>
          <w:rFonts w:ascii="Courier New" w:hAnsi="Courier New" w:cs="Courier New"/>
        </w:rPr>
      </w:pPr>
      <w:r>
        <w:rPr>
          <w:rFonts w:ascii="Courier New" w:hAnsi="Courier New" w:cs="Courier New"/>
        </w:rPr>
        <w:t>Q.</w:t>
      </w:r>
      <w:r>
        <w:rPr>
          <w:rFonts w:ascii="Courier New" w:hAnsi="Courier New" w:cs="Courier New"/>
        </w:rPr>
        <w:tab/>
        <w:t>Has the Company and its partner considered increasing the capacity to produce coal at BCC?</w:t>
      </w:r>
    </w:p>
    <w:p w14:paraId="7F02A1AF" w14:textId="4166BFF6" w:rsidR="00253FD9" w:rsidRDefault="00253FD9" w:rsidP="00610C3C">
      <w:pPr>
        <w:pStyle w:val="Testimony"/>
        <w:tabs>
          <w:tab w:val="left" w:pos="1980"/>
        </w:tabs>
        <w:spacing w:line="456" w:lineRule="auto"/>
        <w:rPr>
          <w:rFonts w:ascii="Courier New" w:hAnsi="Courier New" w:cs="Courier New"/>
        </w:rPr>
      </w:pPr>
      <w:r>
        <w:rPr>
          <w:rFonts w:ascii="Courier New" w:hAnsi="Courier New" w:cs="Courier New"/>
        </w:rPr>
        <w:t>A.</w:t>
      </w:r>
      <w:r>
        <w:rPr>
          <w:rFonts w:ascii="Courier New" w:hAnsi="Courier New" w:cs="Courier New"/>
        </w:rPr>
        <w:tab/>
        <w:t xml:space="preserve">Yes. However, no feasible, cost-effective methods of increasing coal production capacity in the short term have been identified. </w:t>
      </w:r>
      <w:r w:rsidRPr="00E0105B">
        <w:rPr>
          <w:rFonts w:ascii="Courier New" w:hAnsi="Courier New" w:cs="Courier New"/>
        </w:rPr>
        <w:t xml:space="preserve">Increasing coal production at BCC to levels that would completely fill the shortfall in supply would require new permits and additional investment in capital infrastructure. </w:t>
      </w:r>
      <w:r>
        <w:rPr>
          <w:rFonts w:ascii="Courier New" w:hAnsi="Courier New" w:cs="Courier New"/>
        </w:rPr>
        <w:t>Because</w:t>
      </w:r>
      <w:r w:rsidRPr="00E0105B">
        <w:rPr>
          <w:rFonts w:ascii="Courier New" w:hAnsi="Courier New" w:cs="Courier New"/>
        </w:rPr>
        <w:t xml:space="preserve"> the </w:t>
      </w:r>
      <w:r>
        <w:rPr>
          <w:rFonts w:ascii="Courier New" w:hAnsi="Courier New" w:cs="Courier New"/>
        </w:rPr>
        <w:t xml:space="preserve">current </w:t>
      </w:r>
      <w:r w:rsidRPr="00E0105B">
        <w:rPr>
          <w:rFonts w:ascii="Courier New" w:hAnsi="Courier New" w:cs="Courier New"/>
        </w:rPr>
        <w:t xml:space="preserve">coal supply constraints are not expected to persist after the conversion of Bridger Units 1 and 2 to natural gas, additional investment to fill the </w:t>
      </w:r>
      <w:r>
        <w:rPr>
          <w:rFonts w:ascii="Courier New" w:hAnsi="Courier New" w:cs="Courier New"/>
        </w:rPr>
        <w:t xml:space="preserve">near-term temporary </w:t>
      </w:r>
      <w:r w:rsidRPr="00E0105B">
        <w:rPr>
          <w:rFonts w:ascii="Courier New" w:hAnsi="Courier New" w:cs="Courier New"/>
        </w:rPr>
        <w:t>shortfall in coal supply would not provide a benefit to customers in the long-term.</w:t>
      </w:r>
    </w:p>
    <w:p w14:paraId="1DDF0C32" w14:textId="35B894FB" w:rsidR="00253FD9" w:rsidRPr="00610C3C" w:rsidRDefault="00253FD9" w:rsidP="00610C3C">
      <w:pPr>
        <w:pStyle w:val="Testimony"/>
        <w:tabs>
          <w:tab w:val="left" w:pos="1980"/>
        </w:tabs>
        <w:spacing w:line="456" w:lineRule="auto"/>
        <w:rPr>
          <w:rFonts w:ascii="Courier New" w:hAnsi="Courier New" w:cs="Courier New"/>
        </w:rPr>
      </w:pPr>
      <w:r>
        <w:rPr>
          <w:rFonts w:ascii="Courier New" w:hAnsi="Courier New" w:cs="Courier New"/>
        </w:rPr>
        <w:t xml:space="preserve">Q. </w:t>
      </w:r>
      <w:r>
        <w:rPr>
          <w:rFonts w:ascii="Courier New" w:hAnsi="Courier New" w:cs="Courier New"/>
        </w:rPr>
        <w:tab/>
        <w:t>What is Idaho Power doing to address coal constraints at the Valmy plant?</w:t>
      </w:r>
    </w:p>
    <w:p w14:paraId="56D01BCA" w14:textId="4BD9EDC6" w:rsidR="00E0105B" w:rsidRDefault="00253FD9" w:rsidP="00610C3C">
      <w:pPr>
        <w:pStyle w:val="Testimony"/>
        <w:tabs>
          <w:tab w:val="left" w:pos="1980"/>
        </w:tabs>
        <w:spacing w:line="456" w:lineRule="auto"/>
        <w:rPr>
          <w:rFonts w:ascii="Courier New" w:hAnsi="Courier New" w:cs="Courier New"/>
        </w:rPr>
      </w:pPr>
      <w:r>
        <w:rPr>
          <w:rFonts w:ascii="Courier New" w:hAnsi="Courier New" w:cs="Courier New"/>
        </w:rPr>
        <w:t>A.</w:t>
      </w:r>
      <w:r>
        <w:rPr>
          <w:rFonts w:ascii="Courier New" w:hAnsi="Courier New" w:cs="Courier New"/>
        </w:rPr>
        <w:tab/>
      </w:r>
      <w:r w:rsidR="00610C3C" w:rsidRPr="00610C3C">
        <w:rPr>
          <w:rFonts w:ascii="Courier New" w:hAnsi="Courier New" w:cs="Courier New"/>
        </w:rPr>
        <w:t xml:space="preserve">At Valmy, Idaho Power is actively </w:t>
      </w:r>
      <w:r w:rsidR="00206120">
        <w:rPr>
          <w:rFonts w:ascii="Courier New" w:hAnsi="Courier New" w:cs="Courier New"/>
        </w:rPr>
        <w:t>working to secure</w:t>
      </w:r>
      <w:r w:rsidR="00610C3C" w:rsidRPr="00610C3C">
        <w:rPr>
          <w:rFonts w:ascii="Courier New" w:hAnsi="Courier New" w:cs="Courier New"/>
        </w:rPr>
        <w:t xml:space="preserve"> additional coal supply for 2023</w:t>
      </w:r>
      <w:r w:rsidR="00206120">
        <w:rPr>
          <w:rFonts w:ascii="Courier New" w:hAnsi="Courier New" w:cs="Courier New"/>
        </w:rPr>
        <w:t xml:space="preserve">, 2024, and 2025. </w:t>
      </w:r>
      <w:r w:rsidR="00610C3C" w:rsidRPr="00610C3C">
        <w:rPr>
          <w:rFonts w:ascii="Courier New" w:hAnsi="Courier New" w:cs="Courier New"/>
        </w:rPr>
        <w:t xml:space="preserve">Solicitations made in </w:t>
      </w:r>
      <w:r w:rsidR="00206120">
        <w:rPr>
          <w:rFonts w:ascii="Courier New" w:hAnsi="Courier New" w:cs="Courier New"/>
        </w:rPr>
        <w:t xml:space="preserve">a </w:t>
      </w:r>
      <w:r w:rsidR="00E0105B">
        <w:rPr>
          <w:rFonts w:ascii="Courier New" w:hAnsi="Courier New" w:cs="Courier New"/>
        </w:rPr>
        <w:t xml:space="preserve">June </w:t>
      </w:r>
      <w:r w:rsidR="00610C3C" w:rsidRPr="00610C3C">
        <w:rPr>
          <w:rFonts w:ascii="Courier New" w:hAnsi="Courier New" w:cs="Courier New"/>
        </w:rPr>
        <w:t>2022</w:t>
      </w:r>
      <w:r w:rsidR="00206120">
        <w:rPr>
          <w:rFonts w:ascii="Courier New" w:hAnsi="Courier New" w:cs="Courier New"/>
        </w:rPr>
        <w:t xml:space="preserve"> Request for Proposal (“RFP”)</w:t>
      </w:r>
      <w:r w:rsidR="00610C3C" w:rsidRPr="00610C3C">
        <w:rPr>
          <w:rFonts w:ascii="Courier New" w:hAnsi="Courier New" w:cs="Courier New"/>
        </w:rPr>
        <w:t xml:space="preserve"> seeking 2023 coal volumes from spot coal suppliers indicated minimal Western coal available and higher coal prices. </w:t>
      </w:r>
    </w:p>
    <w:p w14:paraId="24CA783B" w14:textId="77777777" w:rsidR="00206120" w:rsidRDefault="00E0105B" w:rsidP="00610C3C">
      <w:pPr>
        <w:pStyle w:val="Testimony"/>
        <w:tabs>
          <w:tab w:val="left" w:pos="1980"/>
        </w:tabs>
        <w:spacing w:line="456" w:lineRule="auto"/>
        <w:rPr>
          <w:rFonts w:ascii="Courier New" w:hAnsi="Courier New" w:cs="Courier New"/>
        </w:rPr>
      </w:pPr>
      <w:r>
        <w:rPr>
          <w:rFonts w:ascii="Courier New" w:hAnsi="Courier New" w:cs="Courier New"/>
        </w:rPr>
        <w:t>As a result of the knowledge gained from the June 2022</w:t>
      </w:r>
      <w:r w:rsidR="00206120">
        <w:rPr>
          <w:rFonts w:ascii="Courier New" w:hAnsi="Courier New" w:cs="Courier New"/>
        </w:rPr>
        <w:t xml:space="preserve"> RFP</w:t>
      </w:r>
      <w:r>
        <w:rPr>
          <w:rFonts w:ascii="Courier New" w:hAnsi="Courier New" w:cs="Courier New"/>
        </w:rPr>
        <w:t xml:space="preserve">, Idaho Power, and its co-owner of Valmy, NV </w:t>
      </w:r>
      <w:r>
        <w:rPr>
          <w:rFonts w:ascii="Courier New" w:hAnsi="Courier New" w:cs="Courier New"/>
        </w:rPr>
        <w:lastRenderedPageBreak/>
        <w:t xml:space="preserve">Energy, commissioned an independent engineering firm to evaluate the performance capabilities of the current </w:t>
      </w:r>
      <w:r w:rsidR="00206120">
        <w:rPr>
          <w:rFonts w:ascii="Courier New" w:hAnsi="Courier New" w:cs="Courier New"/>
        </w:rPr>
        <w:t>d</w:t>
      </w:r>
      <w:r>
        <w:rPr>
          <w:rFonts w:ascii="Courier New" w:hAnsi="Courier New" w:cs="Courier New"/>
        </w:rPr>
        <w:t xml:space="preserve">ry </w:t>
      </w:r>
      <w:r w:rsidR="00206120">
        <w:rPr>
          <w:rFonts w:ascii="Courier New" w:hAnsi="Courier New" w:cs="Courier New"/>
        </w:rPr>
        <w:t>s</w:t>
      </w:r>
      <w:r>
        <w:rPr>
          <w:rFonts w:ascii="Courier New" w:hAnsi="Courier New" w:cs="Courier New"/>
        </w:rPr>
        <w:t xml:space="preserve">orbent </w:t>
      </w:r>
      <w:r w:rsidR="00206120">
        <w:rPr>
          <w:rFonts w:ascii="Courier New" w:hAnsi="Courier New" w:cs="Courier New"/>
        </w:rPr>
        <w:t>i</w:t>
      </w:r>
      <w:r>
        <w:rPr>
          <w:rFonts w:ascii="Courier New" w:hAnsi="Courier New" w:cs="Courier New"/>
        </w:rPr>
        <w:t xml:space="preserve">njection system and feasibility of installing </w:t>
      </w:r>
      <w:r w:rsidR="00206120">
        <w:rPr>
          <w:rFonts w:ascii="Courier New" w:hAnsi="Courier New" w:cs="Courier New"/>
        </w:rPr>
        <w:t>a</w:t>
      </w:r>
      <w:r>
        <w:rPr>
          <w:rFonts w:ascii="Courier New" w:hAnsi="Courier New" w:cs="Courier New"/>
        </w:rPr>
        <w:t xml:space="preserve">ctivated </w:t>
      </w:r>
      <w:r w:rsidR="00206120">
        <w:rPr>
          <w:rFonts w:ascii="Courier New" w:hAnsi="Courier New" w:cs="Courier New"/>
        </w:rPr>
        <w:t>c</w:t>
      </w:r>
      <w:r>
        <w:rPr>
          <w:rFonts w:ascii="Courier New" w:hAnsi="Courier New" w:cs="Courier New"/>
        </w:rPr>
        <w:t xml:space="preserve">arbon </w:t>
      </w:r>
      <w:r w:rsidR="00206120">
        <w:rPr>
          <w:rFonts w:ascii="Courier New" w:hAnsi="Courier New" w:cs="Courier New"/>
        </w:rPr>
        <w:t>i</w:t>
      </w:r>
      <w:r>
        <w:rPr>
          <w:rFonts w:ascii="Courier New" w:hAnsi="Courier New" w:cs="Courier New"/>
        </w:rPr>
        <w:t xml:space="preserve">njection systems that would enhance controls to allow Valmy to burn higher mercury and sulfur coals. Based on information provided by the engineering firm, Valmy plant specifications for mercury and sulfur were refined. </w:t>
      </w:r>
    </w:p>
    <w:p w14:paraId="3525F268" w14:textId="5A8F5ACF" w:rsidR="00610C3C" w:rsidRPr="00610C3C" w:rsidRDefault="00E0105B" w:rsidP="00610C3C">
      <w:pPr>
        <w:pStyle w:val="Testimony"/>
        <w:tabs>
          <w:tab w:val="left" w:pos="1980"/>
        </w:tabs>
        <w:spacing w:line="456" w:lineRule="auto"/>
        <w:rPr>
          <w:rFonts w:ascii="Courier New" w:hAnsi="Courier New" w:cs="Courier New"/>
        </w:rPr>
      </w:pPr>
      <w:r>
        <w:rPr>
          <w:rFonts w:ascii="Courier New" w:hAnsi="Courier New" w:cs="Courier New"/>
        </w:rPr>
        <w:t xml:space="preserve">In November 2022, NV Energy and Idaho Power issued a new RFP seeking coal for 2023. Idaho Power has scheduled a test burn for a new fuel source from this RFP, and a contract is </w:t>
      </w:r>
      <w:r w:rsidR="003F0F39">
        <w:rPr>
          <w:rFonts w:ascii="Courier New" w:hAnsi="Courier New" w:cs="Courier New"/>
        </w:rPr>
        <w:t xml:space="preserve">being </w:t>
      </w:r>
      <w:r>
        <w:rPr>
          <w:rFonts w:ascii="Courier New" w:hAnsi="Courier New" w:cs="Courier New"/>
        </w:rPr>
        <w:t xml:space="preserve">negotiated with the supplier pending finalization of rail transportation. </w:t>
      </w:r>
      <w:r w:rsidRPr="00E0105B">
        <w:rPr>
          <w:rFonts w:ascii="Courier New" w:hAnsi="Courier New" w:cs="Courier New"/>
        </w:rPr>
        <w:t>Idaho Power expects</w:t>
      </w:r>
      <w:r w:rsidR="00F646EC">
        <w:rPr>
          <w:rFonts w:ascii="Courier New" w:hAnsi="Courier New" w:cs="Courier New"/>
        </w:rPr>
        <w:t xml:space="preserve"> that</w:t>
      </w:r>
      <w:r w:rsidRPr="00E0105B">
        <w:rPr>
          <w:rFonts w:ascii="Courier New" w:hAnsi="Courier New" w:cs="Courier New"/>
        </w:rPr>
        <w:t xml:space="preserve"> this volume of additional coal, combined with existing stockpile inventory, will provide fuel to operate Valmy during </w:t>
      </w:r>
      <w:r>
        <w:rPr>
          <w:rFonts w:ascii="Courier New" w:hAnsi="Courier New" w:cs="Courier New"/>
        </w:rPr>
        <w:t>the summer months of</w:t>
      </w:r>
      <w:r w:rsidRPr="00E0105B">
        <w:rPr>
          <w:rFonts w:ascii="Courier New" w:hAnsi="Courier New" w:cs="Courier New"/>
        </w:rPr>
        <w:t xml:space="preserve"> 2023, as well as the winter months of 2023–24.</w:t>
      </w:r>
    </w:p>
    <w:p w14:paraId="3AAD80A4" w14:textId="0FDB504F" w:rsidR="00C446B7" w:rsidRPr="00022A04" w:rsidRDefault="00C446B7" w:rsidP="00C446B7">
      <w:pPr>
        <w:pStyle w:val="Testimony"/>
        <w:widowControl/>
        <w:tabs>
          <w:tab w:val="clear" w:pos="2160"/>
          <w:tab w:val="left" w:pos="1980"/>
        </w:tabs>
        <w:spacing w:line="456" w:lineRule="auto"/>
        <w:rPr>
          <w:rFonts w:ascii="Courier New" w:hAnsi="Courier New" w:cs="Courier New"/>
        </w:rPr>
      </w:pPr>
      <w:r w:rsidRPr="00022A04">
        <w:rPr>
          <w:rFonts w:ascii="Courier New" w:hAnsi="Courier New" w:cs="Courier New"/>
        </w:rPr>
        <w:t>Q.</w:t>
      </w:r>
      <w:r>
        <w:rPr>
          <w:rFonts w:ascii="Courier New" w:hAnsi="Courier New" w:cs="Courier New"/>
        </w:rPr>
        <w:tab/>
      </w:r>
      <w:r w:rsidRPr="00022A04">
        <w:rPr>
          <w:rFonts w:ascii="Courier New" w:hAnsi="Courier New" w:cs="Courier New"/>
        </w:rPr>
        <w:t>Please elaborate on the</w:t>
      </w:r>
      <w:r w:rsidR="00800444">
        <w:rPr>
          <w:rFonts w:ascii="Courier New" w:hAnsi="Courier New" w:cs="Courier New"/>
        </w:rPr>
        <w:t xml:space="preserve"> </w:t>
      </w:r>
      <w:r w:rsidRPr="00022A04">
        <w:rPr>
          <w:rFonts w:ascii="Courier New" w:hAnsi="Courier New" w:cs="Courier New"/>
        </w:rPr>
        <w:t>changes in the 95 percent sharing accounts for this year’s forecast as compared with last year’s forecast</w:t>
      </w:r>
      <w:r w:rsidR="00253FD9">
        <w:rPr>
          <w:rFonts w:ascii="Courier New" w:hAnsi="Courier New" w:cs="Courier New"/>
        </w:rPr>
        <w:t xml:space="preserve"> as presented in Table 3</w:t>
      </w:r>
      <w:r w:rsidRPr="00022A04">
        <w:rPr>
          <w:rFonts w:ascii="Courier New" w:hAnsi="Courier New" w:cs="Courier New"/>
        </w:rPr>
        <w:t xml:space="preserve">. </w:t>
      </w:r>
    </w:p>
    <w:p w14:paraId="312F6170" w14:textId="59F7DC22" w:rsidR="00124493" w:rsidRDefault="00C446B7" w:rsidP="00BC3A6F">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A.</w:t>
      </w:r>
      <w:r w:rsidR="008C08C7">
        <w:rPr>
          <w:rFonts w:ascii="Courier New" w:hAnsi="Courier New" w:cs="Courier New"/>
        </w:rPr>
        <w:tab/>
      </w:r>
      <w:r w:rsidR="00124493" w:rsidRPr="00022A04">
        <w:rPr>
          <w:rFonts w:ascii="Courier New" w:hAnsi="Courier New" w:cs="Courier New"/>
        </w:rPr>
        <w:t xml:space="preserve">For the </w:t>
      </w:r>
      <w:r w:rsidR="00202300">
        <w:rPr>
          <w:rFonts w:ascii="Courier New" w:hAnsi="Courier New" w:cs="Courier New"/>
        </w:rPr>
        <w:t>2023</w:t>
      </w:r>
      <w:r w:rsidR="00124493" w:rsidRPr="00022A04">
        <w:rPr>
          <w:rFonts w:ascii="Courier New" w:hAnsi="Courier New" w:cs="Courier New"/>
        </w:rPr>
        <w:t>-</w:t>
      </w:r>
      <w:r w:rsidR="00202300">
        <w:rPr>
          <w:rFonts w:ascii="Courier New" w:hAnsi="Courier New" w:cs="Courier New"/>
        </w:rPr>
        <w:t>2024</w:t>
      </w:r>
      <w:r w:rsidR="00124493" w:rsidRPr="00022A04">
        <w:rPr>
          <w:rFonts w:ascii="Courier New" w:hAnsi="Courier New" w:cs="Courier New"/>
        </w:rPr>
        <w:t xml:space="preserve"> PCA </w:t>
      </w:r>
      <w:r w:rsidR="005F4002">
        <w:rPr>
          <w:rFonts w:ascii="Courier New" w:hAnsi="Courier New" w:cs="Courier New"/>
        </w:rPr>
        <w:t>y</w:t>
      </w:r>
      <w:r w:rsidR="00AC5408">
        <w:rPr>
          <w:rFonts w:ascii="Courier New" w:hAnsi="Courier New" w:cs="Courier New"/>
        </w:rPr>
        <w:t>ear</w:t>
      </w:r>
      <w:r w:rsidR="00124493" w:rsidRPr="00022A04">
        <w:rPr>
          <w:rFonts w:ascii="Courier New" w:hAnsi="Courier New" w:cs="Courier New"/>
        </w:rPr>
        <w:t xml:space="preserve">, </w:t>
      </w:r>
      <w:r w:rsidR="00EC4F8F">
        <w:rPr>
          <w:rFonts w:ascii="Courier New" w:hAnsi="Courier New" w:cs="Courier New"/>
        </w:rPr>
        <w:t xml:space="preserve">the </w:t>
      </w:r>
      <w:r w:rsidR="00EC4F8F" w:rsidRPr="00A529FA">
        <w:rPr>
          <w:rFonts w:ascii="Courier New" w:hAnsi="Courier New" w:cs="Courier New"/>
        </w:rPr>
        <w:t xml:space="preserve">average forecast market </w:t>
      </w:r>
      <w:r w:rsidR="00EC4F8F">
        <w:rPr>
          <w:rFonts w:ascii="Courier New" w:hAnsi="Courier New" w:cs="Courier New"/>
        </w:rPr>
        <w:t>purchase price is $</w:t>
      </w:r>
      <w:r w:rsidR="00915180">
        <w:rPr>
          <w:rFonts w:ascii="Courier New" w:hAnsi="Courier New" w:cs="Courier New"/>
        </w:rPr>
        <w:t>76.01</w:t>
      </w:r>
      <w:r w:rsidR="00EC4F8F">
        <w:rPr>
          <w:rFonts w:ascii="Courier New" w:hAnsi="Courier New" w:cs="Courier New"/>
        </w:rPr>
        <w:t xml:space="preserve"> per </w:t>
      </w:r>
      <w:r w:rsidR="00861819">
        <w:rPr>
          <w:rFonts w:ascii="Courier New" w:hAnsi="Courier New" w:cs="Courier New"/>
        </w:rPr>
        <w:t xml:space="preserve">megawatt-hour </w:t>
      </w:r>
      <w:r w:rsidR="005D419C">
        <w:rPr>
          <w:rFonts w:ascii="Courier New" w:hAnsi="Courier New" w:cs="Courier New"/>
        </w:rPr>
        <w:t>(</w:t>
      </w:r>
      <w:r w:rsidR="00861819">
        <w:rPr>
          <w:rFonts w:ascii="Courier New" w:hAnsi="Courier New" w:cs="Courier New"/>
        </w:rPr>
        <w:t>“</w:t>
      </w:r>
      <w:r w:rsidR="00EC4F8F">
        <w:rPr>
          <w:rFonts w:ascii="Courier New" w:hAnsi="Courier New" w:cs="Courier New"/>
        </w:rPr>
        <w:t>MWh</w:t>
      </w:r>
      <w:r w:rsidR="00861819">
        <w:rPr>
          <w:rFonts w:ascii="Courier New" w:hAnsi="Courier New" w:cs="Courier New"/>
        </w:rPr>
        <w:t>”)</w:t>
      </w:r>
      <w:r w:rsidR="00EC4F8F">
        <w:rPr>
          <w:rFonts w:ascii="Courier New" w:hAnsi="Courier New" w:cs="Courier New"/>
        </w:rPr>
        <w:t xml:space="preserve">, compared to </w:t>
      </w:r>
      <w:r w:rsidR="00B32F81">
        <w:rPr>
          <w:rFonts w:ascii="Courier New" w:hAnsi="Courier New" w:cs="Courier New"/>
        </w:rPr>
        <w:t>$</w:t>
      </w:r>
      <w:r w:rsidR="00915180">
        <w:rPr>
          <w:rFonts w:ascii="Courier New" w:hAnsi="Courier New" w:cs="Courier New"/>
        </w:rPr>
        <w:t>49.11</w:t>
      </w:r>
      <w:r w:rsidR="00B32F81">
        <w:rPr>
          <w:rFonts w:ascii="Courier New" w:hAnsi="Courier New" w:cs="Courier New"/>
        </w:rPr>
        <w:t xml:space="preserve"> per MWh last year, an increase of </w:t>
      </w:r>
      <w:r w:rsidR="00915180">
        <w:rPr>
          <w:rFonts w:ascii="Courier New" w:hAnsi="Courier New" w:cs="Courier New"/>
        </w:rPr>
        <w:t>55</w:t>
      </w:r>
      <w:r w:rsidR="00B32F81">
        <w:rPr>
          <w:rFonts w:ascii="Courier New" w:hAnsi="Courier New" w:cs="Courier New"/>
        </w:rPr>
        <w:t xml:space="preserve"> percent. </w:t>
      </w:r>
      <w:r w:rsidR="00B17FA4">
        <w:rPr>
          <w:rFonts w:ascii="Courier New" w:hAnsi="Courier New" w:cs="Courier New"/>
        </w:rPr>
        <w:t xml:space="preserve">In addition, the per-unit cost of natural gas for the </w:t>
      </w:r>
      <w:r w:rsidR="00202300">
        <w:rPr>
          <w:rFonts w:ascii="Courier New" w:hAnsi="Courier New" w:cs="Courier New"/>
        </w:rPr>
        <w:t>2023</w:t>
      </w:r>
      <w:r w:rsidR="00B17FA4">
        <w:rPr>
          <w:rFonts w:ascii="Courier New" w:hAnsi="Courier New" w:cs="Courier New"/>
        </w:rPr>
        <w:t>-</w:t>
      </w:r>
      <w:r w:rsidR="00202300">
        <w:rPr>
          <w:rFonts w:ascii="Courier New" w:hAnsi="Courier New" w:cs="Courier New"/>
        </w:rPr>
        <w:t>2024</w:t>
      </w:r>
      <w:r w:rsidR="00B17FA4">
        <w:rPr>
          <w:rFonts w:ascii="Courier New" w:hAnsi="Courier New" w:cs="Courier New"/>
        </w:rPr>
        <w:t xml:space="preserve"> PCA </w:t>
      </w:r>
      <w:r w:rsidR="005F4002">
        <w:rPr>
          <w:rFonts w:ascii="Courier New" w:hAnsi="Courier New" w:cs="Courier New"/>
        </w:rPr>
        <w:t>y</w:t>
      </w:r>
      <w:r w:rsidR="00B17FA4">
        <w:rPr>
          <w:rFonts w:ascii="Courier New" w:hAnsi="Courier New" w:cs="Courier New"/>
        </w:rPr>
        <w:t>ear is $</w:t>
      </w:r>
      <w:r w:rsidR="00915180">
        <w:rPr>
          <w:rFonts w:ascii="Courier New" w:hAnsi="Courier New" w:cs="Courier New"/>
        </w:rPr>
        <w:t>41.27</w:t>
      </w:r>
      <w:r w:rsidR="00B17FA4">
        <w:rPr>
          <w:rFonts w:ascii="Courier New" w:hAnsi="Courier New" w:cs="Courier New"/>
        </w:rPr>
        <w:t xml:space="preserve"> per MWh, an </w:t>
      </w:r>
      <w:r w:rsidR="00B17FA4">
        <w:rPr>
          <w:rFonts w:ascii="Courier New" w:hAnsi="Courier New" w:cs="Courier New"/>
        </w:rPr>
        <w:lastRenderedPageBreak/>
        <w:t>increase of 3</w:t>
      </w:r>
      <w:r w:rsidR="00915180">
        <w:rPr>
          <w:rFonts w:ascii="Courier New" w:hAnsi="Courier New" w:cs="Courier New"/>
        </w:rPr>
        <w:t>3</w:t>
      </w:r>
      <w:r w:rsidR="00B17FA4">
        <w:rPr>
          <w:rFonts w:ascii="Courier New" w:hAnsi="Courier New" w:cs="Courier New"/>
        </w:rPr>
        <w:t xml:space="preserve"> percent compared to last year. </w:t>
      </w:r>
      <w:r w:rsidR="00124493">
        <w:rPr>
          <w:rFonts w:ascii="Courier New" w:hAnsi="Courier New" w:cs="Courier New"/>
        </w:rPr>
        <w:t xml:space="preserve">As a result of </w:t>
      </w:r>
      <w:r w:rsidR="00915180">
        <w:rPr>
          <w:rFonts w:ascii="Courier New" w:hAnsi="Courier New" w:cs="Courier New"/>
        </w:rPr>
        <w:t>the limited coal supply</w:t>
      </w:r>
      <w:r w:rsidR="00124493">
        <w:rPr>
          <w:rFonts w:ascii="Courier New" w:hAnsi="Courier New" w:cs="Courier New"/>
        </w:rPr>
        <w:t>,</w:t>
      </w:r>
      <w:r w:rsidR="00915180">
        <w:rPr>
          <w:rFonts w:ascii="Courier New" w:hAnsi="Courier New" w:cs="Courier New"/>
        </w:rPr>
        <w:t xml:space="preserve"> the per-unit cost of coal generation has also increased from last year</w:t>
      </w:r>
      <w:r w:rsidR="006128C2">
        <w:rPr>
          <w:rFonts w:ascii="Courier New" w:hAnsi="Courier New" w:cs="Courier New"/>
        </w:rPr>
        <w:t>.</w:t>
      </w:r>
      <w:r w:rsidR="00124493">
        <w:rPr>
          <w:rFonts w:ascii="Courier New" w:hAnsi="Courier New" w:cs="Courier New"/>
        </w:rPr>
        <w:t xml:space="preserve"> </w:t>
      </w:r>
      <w:r w:rsidR="006128C2">
        <w:rPr>
          <w:rFonts w:ascii="Courier New" w:hAnsi="Courier New" w:cs="Courier New"/>
        </w:rPr>
        <w:t>The</w:t>
      </w:r>
      <w:r w:rsidR="00124493">
        <w:rPr>
          <w:rFonts w:ascii="Courier New" w:hAnsi="Courier New" w:cs="Courier New"/>
        </w:rPr>
        <w:t xml:space="preserve"> average per-unit cost</w:t>
      </w:r>
      <w:r w:rsidR="00B17FA4">
        <w:rPr>
          <w:rFonts w:ascii="Courier New" w:hAnsi="Courier New" w:cs="Courier New"/>
        </w:rPr>
        <w:t xml:space="preserve"> of</w:t>
      </w:r>
      <w:r w:rsidR="00124493">
        <w:rPr>
          <w:rFonts w:ascii="Courier New" w:hAnsi="Courier New" w:cs="Courier New"/>
        </w:rPr>
        <w:t xml:space="preserve"> coal-fired generation </w:t>
      </w:r>
      <w:r w:rsidR="005F4002">
        <w:rPr>
          <w:rFonts w:ascii="Courier New" w:hAnsi="Courier New" w:cs="Courier New"/>
        </w:rPr>
        <w:t xml:space="preserve">for the 2023-2024 PCA year </w:t>
      </w:r>
      <w:r w:rsidR="00B17FA4">
        <w:rPr>
          <w:rFonts w:ascii="Courier New" w:hAnsi="Courier New" w:cs="Courier New"/>
        </w:rPr>
        <w:t>is</w:t>
      </w:r>
      <w:r w:rsidR="00124493">
        <w:rPr>
          <w:rFonts w:ascii="Courier New" w:hAnsi="Courier New" w:cs="Courier New"/>
        </w:rPr>
        <w:t xml:space="preserve"> $</w:t>
      </w:r>
      <w:r w:rsidR="00915180">
        <w:rPr>
          <w:rFonts w:ascii="Courier New" w:hAnsi="Courier New" w:cs="Courier New"/>
        </w:rPr>
        <w:t>36.95</w:t>
      </w:r>
      <w:r w:rsidR="00B17FA4">
        <w:rPr>
          <w:rFonts w:ascii="Courier New" w:hAnsi="Courier New" w:cs="Courier New"/>
        </w:rPr>
        <w:t xml:space="preserve"> pe</w:t>
      </w:r>
      <w:r w:rsidR="00124493">
        <w:rPr>
          <w:rFonts w:ascii="Courier New" w:hAnsi="Courier New" w:cs="Courier New"/>
        </w:rPr>
        <w:t>r MWh</w:t>
      </w:r>
      <w:r w:rsidR="00B17FA4">
        <w:rPr>
          <w:rFonts w:ascii="Courier New" w:hAnsi="Courier New" w:cs="Courier New"/>
        </w:rPr>
        <w:t xml:space="preserve">, </w:t>
      </w:r>
      <w:r w:rsidR="00915180">
        <w:rPr>
          <w:rFonts w:ascii="Courier New" w:hAnsi="Courier New" w:cs="Courier New"/>
        </w:rPr>
        <w:t>a</w:t>
      </w:r>
      <w:r w:rsidR="005F4002">
        <w:rPr>
          <w:rFonts w:ascii="Courier New" w:hAnsi="Courier New" w:cs="Courier New"/>
        </w:rPr>
        <w:t>n increase of</w:t>
      </w:r>
      <w:r w:rsidR="00915180">
        <w:rPr>
          <w:rFonts w:ascii="Courier New" w:hAnsi="Courier New" w:cs="Courier New"/>
        </w:rPr>
        <w:t xml:space="preserve"> 24 percent </w:t>
      </w:r>
      <w:r w:rsidR="005F4002">
        <w:rPr>
          <w:rFonts w:ascii="Courier New" w:hAnsi="Courier New" w:cs="Courier New"/>
        </w:rPr>
        <w:t>compared to last year</w:t>
      </w:r>
      <w:r w:rsidR="00124493">
        <w:rPr>
          <w:rFonts w:ascii="Courier New" w:hAnsi="Courier New" w:cs="Courier New"/>
        </w:rPr>
        <w:t>. Accordingly,</w:t>
      </w:r>
      <w:r w:rsidR="00B17FA4">
        <w:rPr>
          <w:rFonts w:ascii="Courier New" w:hAnsi="Courier New" w:cs="Courier New"/>
        </w:rPr>
        <w:t xml:space="preserve"> </w:t>
      </w:r>
      <w:r w:rsidR="0055670E">
        <w:rPr>
          <w:rFonts w:ascii="Courier New" w:hAnsi="Courier New" w:cs="Courier New"/>
        </w:rPr>
        <w:t xml:space="preserve">expenses from </w:t>
      </w:r>
      <w:r w:rsidR="005F4002">
        <w:rPr>
          <w:rFonts w:ascii="Courier New" w:hAnsi="Courier New" w:cs="Courier New"/>
        </w:rPr>
        <w:t>non-PURPA purchased power</w:t>
      </w:r>
      <w:r w:rsidR="00B17FA4">
        <w:rPr>
          <w:rFonts w:ascii="Courier New" w:hAnsi="Courier New" w:cs="Courier New"/>
        </w:rPr>
        <w:t xml:space="preserve"> </w:t>
      </w:r>
      <w:r w:rsidR="0055670E">
        <w:rPr>
          <w:rFonts w:ascii="Courier New" w:hAnsi="Courier New" w:cs="Courier New"/>
        </w:rPr>
        <w:t>are</w:t>
      </w:r>
      <w:r w:rsidR="00B17FA4">
        <w:rPr>
          <w:rFonts w:ascii="Courier New" w:hAnsi="Courier New" w:cs="Courier New"/>
        </w:rPr>
        <w:t xml:space="preserve"> expected to increase </w:t>
      </w:r>
      <w:r w:rsidR="005F4002">
        <w:rPr>
          <w:rFonts w:ascii="Courier New" w:hAnsi="Courier New" w:cs="Courier New"/>
        </w:rPr>
        <w:t>2</w:t>
      </w:r>
      <w:r w:rsidR="00915180">
        <w:rPr>
          <w:rFonts w:ascii="Courier New" w:hAnsi="Courier New" w:cs="Courier New"/>
        </w:rPr>
        <w:t>5</w:t>
      </w:r>
      <w:r w:rsidR="00B17FA4">
        <w:rPr>
          <w:rFonts w:ascii="Courier New" w:hAnsi="Courier New" w:cs="Courier New"/>
        </w:rPr>
        <w:t xml:space="preserve"> percent as compared to last year’s forecast,</w:t>
      </w:r>
      <w:r w:rsidR="00124493">
        <w:rPr>
          <w:rFonts w:ascii="Courier New" w:hAnsi="Courier New" w:cs="Courier New"/>
        </w:rPr>
        <w:t xml:space="preserve"> natural gas expense</w:t>
      </w:r>
      <w:r w:rsidR="00124493" w:rsidRPr="00CD00CF">
        <w:rPr>
          <w:rFonts w:ascii="Courier New" w:hAnsi="Courier New" w:cs="Courier New"/>
        </w:rPr>
        <w:t xml:space="preserve"> is expected to increase </w:t>
      </w:r>
      <w:r w:rsidR="00915180">
        <w:rPr>
          <w:rFonts w:ascii="Courier New" w:hAnsi="Courier New" w:cs="Courier New"/>
        </w:rPr>
        <w:t>70</w:t>
      </w:r>
      <w:r w:rsidR="00B17FA4">
        <w:rPr>
          <w:rFonts w:ascii="Courier New" w:hAnsi="Courier New" w:cs="Courier New"/>
        </w:rPr>
        <w:t xml:space="preserve"> percent</w:t>
      </w:r>
      <w:r w:rsidR="00B32F81">
        <w:rPr>
          <w:rFonts w:ascii="Courier New" w:hAnsi="Courier New" w:cs="Courier New"/>
        </w:rPr>
        <w:t>, and</w:t>
      </w:r>
      <w:r w:rsidR="00124493">
        <w:rPr>
          <w:rFonts w:ascii="Courier New" w:hAnsi="Courier New" w:cs="Courier New"/>
        </w:rPr>
        <w:t xml:space="preserve"> </w:t>
      </w:r>
      <w:r w:rsidR="00B32F81">
        <w:rPr>
          <w:rFonts w:ascii="Courier New" w:hAnsi="Courier New" w:cs="Courier New"/>
        </w:rPr>
        <w:t>c</w:t>
      </w:r>
      <w:r w:rsidR="00124493" w:rsidRPr="00CD00CF">
        <w:rPr>
          <w:rFonts w:ascii="Courier New" w:hAnsi="Courier New" w:cs="Courier New"/>
        </w:rPr>
        <w:t xml:space="preserve">oal fuel expense is expected to </w:t>
      </w:r>
      <w:r w:rsidR="00915180">
        <w:rPr>
          <w:rFonts w:ascii="Courier New" w:hAnsi="Courier New" w:cs="Courier New"/>
        </w:rPr>
        <w:t>decrease</w:t>
      </w:r>
      <w:r w:rsidR="00124493" w:rsidRPr="00CD00CF">
        <w:rPr>
          <w:rFonts w:ascii="Courier New" w:hAnsi="Courier New" w:cs="Courier New"/>
        </w:rPr>
        <w:t xml:space="preserve"> </w:t>
      </w:r>
      <w:r w:rsidR="00915180">
        <w:rPr>
          <w:rFonts w:ascii="Courier New" w:hAnsi="Courier New" w:cs="Courier New"/>
        </w:rPr>
        <w:t>14</w:t>
      </w:r>
      <w:r w:rsidR="00124493" w:rsidRPr="00CD00CF">
        <w:rPr>
          <w:rFonts w:ascii="Courier New" w:hAnsi="Courier New" w:cs="Courier New"/>
        </w:rPr>
        <w:t xml:space="preserve"> percent</w:t>
      </w:r>
      <w:r w:rsidR="00B32F81">
        <w:rPr>
          <w:rFonts w:ascii="Courier New" w:hAnsi="Courier New" w:cs="Courier New"/>
        </w:rPr>
        <w:t>.</w:t>
      </w:r>
    </w:p>
    <w:p w14:paraId="01B9DD95" w14:textId="41734FE1" w:rsidR="00C446B7" w:rsidRDefault="007D62D8" w:rsidP="00C446B7">
      <w:pPr>
        <w:pStyle w:val="Testimony"/>
        <w:widowControl/>
        <w:tabs>
          <w:tab w:val="clear" w:pos="2160"/>
          <w:tab w:val="left" w:pos="1980"/>
        </w:tabs>
        <w:spacing w:line="456" w:lineRule="auto"/>
        <w:rPr>
          <w:rFonts w:ascii="Courier New" w:hAnsi="Courier New" w:cs="Courier New"/>
          <w:highlight w:val="yellow"/>
        </w:rPr>
      </w:pPr>
      <w:r>
        <w:rPr>
          <w:rFonts w:ascii="Courier New" w:hAnsi="Courier New" w:cs="Courier New"/>
        </w:rPr>
        <w:t xml:space="preserve">The increase </w:t>
      </w:r>
      <w:r w:rsidRPr="00022A04">
        <w:rPr>
          <w:rFonts w:ascii="Courier New" w:hAnsi="Courier New" w:cs="Courier New"/>
        </w:rPr>
        <w:t xml:space="preserve">in </w:t>
      </w:r>
      <w:r>
        <w:rPr>
          <w:rFonts w:ascii="Courier New" w:hAnsi="Courier New" w:cs="Courier New"/>
        </w:rPr>
        <w:t xml:space="preserve">forecast </w:t>
      </w:r>
      <w:r w:rsidRPr="00022A04">
        <w:rPr>
          <w:rFonts w:ascii="Courier New" w:hAnsi="Courier New" w:cs="Courier New"/>
        </w:rPr>
        <w:t xml:space="preserve">market </w:t>
      </w:r>
      <w:r>
        <w:rPr>
          <w:rFonts w:ascii="Courier New" w:hAnsi="Courier New" w:cs="Courier New"/>
        </w:rPr>
        <w:t xml:space="preserve">energy </w:t>
      </w:r>
      <w:r w:rsidRPr="00022A04">
        <w:rPr>
          <w:rFonts w:ascii="Courier New" w:hAnsi="Courier New" w:cs="Courier New"/>
        </w:rPr>
        <w:t xml:space="preserve">prices is </w:t>
      </w:r>
      <w:r>
        <w:rPr>
          <w:rFonts w:ascii="Courier New" w:hAnsi="Courier New" w:cs="Courier New"/>
        </w:rPr>
        <w:t>also</w:t>
      </w:r>
      <w:r w:rsidR="00C446B7">
        <w:rPr>
          <w:rFonts w:ascii="Courier New" w:hAnsi="Courier New" w:cs="Courier New"/>
        </w:rPr>
        <w:t xml:space="preserve"> resulting in </w:t>
      </w:r>
      <w:r>
        <w:rPr>
          <w:rFonts w:ascii="Courier New" w:hAnsi="Courier New" w:cs="Courier New"/>
        </w:rPr>
        <w:t>higher</w:t>
      </w:r>
      <w:r w:rsidR="00C446B7">
        <w:rPr>
          <w:rFonts w:ascii="Courier New" w:hAnsi="Courier New" w:cs="Courier New"/>
        </w:rPr>
        <w:t xml:space="preserve"> surplus sales </w:t>
      </w:r>
      <w:r w:rsidR="002B61AE">
        <w:rPr>
          <w:rFonts w:ascii="Courier New" w:hAnsi="Courier New" w:cs="Courier New"/>
        </w:rPr>
        <w:t>revenue</w:t>
      </w:r>
      <w:r w:rsidR="00C446B7">
        <w:rPr>
          <w:rFonts w:ascii="Courier New" w:hAnsi="Courier New" w:cs="Courier New"/>
        </w:rPr>
        <w:t xml:space="preserve">. </w:t>
      </w:r>
      <w:r w:rsidR="002B61AE">
        <w:rPr>
          <w:rFonts w:ascii="Courier New" w:hAnsi="Courier New" w:cs="Courier New"/>
        </w:rPr>
        <w:t>S</w:t>
      </w:r>
      <w:r w:rsidR="00C446B7">
        <w:rPr>
          <w:rFonts w:ascii="Courier New" w:hAnsi="Courier New" w:cs="Courier New"/>
        </w:rPr>
        <w:t xml:space="preserve">urplus sales revenue is expected to </w:t>
      </w:r>
      <w:r w:rsidR="00C446B7" w:rsidRPr="00A529FA">
        <w:rPr>
          <w:rFonts w:ascii="Courier New" w:hAnsi="Courier New" w:cs="Courier New"/>
        </w:rPr>
        <w:t xml:space="preserve">increase </w:t>
      </w:r>
      <w:r w:rsidR="00915180">
        <w:rPr>
          <w:rFonts w:ascii="Courier New" w:hAnsi="Courier New" w:cs="Courier New"/>
        </w:rPr>
        <w:t>29</w:t>
      </w:r>
      <w:r w:rsidR="00C446B7" w:rsidRPr="00A529FA">
        <w:rPr>
          <w:rFonts w:ascii="Courier New" w:hAnsi="Courier New" w:cs="Courier New"/>
        </w:rPr>
        <w:t xml:space="preserve"> percent</w:t>
      </w:r>
      <w:r w:rsidR="00C446B7">
        <w:rPr>
          <w:rFonts w:ascii="Courier New" w:hAnsi="Courier New" w:cs="Courier New"/>
        </w:rPr>
        <w:t xml:space="preserve"> compared to last year</w:t>
      </w:r>
      <w:r w:rsidR="00C446B7" w:rsidRPr="00A529FA">
        <w:rPr>
          <w:rFonts w:ascii="Courier New" w:hAnsi="Courier New" w:cs="Courier New"/>
        </w:rPr>
        <w:t>, from $</w:t>
      </w:r>
      <w:r w:rsidR="00915180">
        <w:rPr>
          <w:rFonts w:ascii="Courier New" w:hAnsi="Courier New" w:cs="Courier New"/>
        </w:rPr>
        <w:t>6</w:t>
      </w:r>
      <w:r w:rsidR="00915180" w:rsidRPr="00A529FA">
        <w:rPr>
          <w:rFonts w:ascii="Courier New" w:hAnsi="Courier New" w:cs="Courier New"/>
        </w:rPr>
        <w:t>5,</w:t>
      </w:r>
      <w:r w:rsidR="00915180">
        <w:rPr>
          <w:rFonts w:ascii="Courier New" w:hAnsi="Courier New" w:cs="Courier New"/>
        </w:rPr>
        <w:t xml:space="preserve">085,848 </w:t>
      </w:r>
      <w:r w:rsidR="00C446B7" w:rsidRPr="00A529FA">
        <w:rPr>
          <w:rFonts w:ascii="Courier New" w:hAnsi="Courier New" w:cs="Courier New"/>
        </w:rPr>
        <w:t>to $</w:t>
      </w:r>
      <w:r w:rsidR="00915180">
        <w:rPr>
          <w:rFonts w:ascii="Courier New" w:hAnsi="Courier New" w:cs="Courier New"/>
        </w:rPr>
        <w:t>84,191,539</w:t>
      </w:r>
      <w:r w:rsidR="00C446B7" w:rsidRPr="00A529FA">
        <w:rPr>
          <w:rFonts w:ascii="Courier New" w:hAnsi="Courier New" w:cs="Courier New"/>
        </w:rPr>
        <w:t xml:space="preserve">.  For the </w:t>
      </w:r>
      <w:r w:rsidR="00202300">
        <w:rPr>
          <w:rFonts w:ascii="Courier New" w:hAnsi="Courier New" w:cs="Courier New"/>
        </w:rPr>
        <w:t>2023</w:t>
      </w:r>
      <w:r w:rsidR="00C446B7" w:rsidRPr="00A529FA">
        <w:rPr>
          <w:rFonts w:ascii="Courier New" w:hAnsi="Courier New" w:cs="Courier New"/>
        </w:rPr>
        <w:t>-</w:t>
      </w:r>
      <w:r w:rsidR="00202300">
        <w:rPr>
          <w:rFonts w:ascii="Courier New" w:hAnsi="Courier New" w:cs="Courier New"/>
        </w:rPr>
        <w:t>2024</w:t>
      </w:r>
      <w:r w:rsidR="00C446B7" w:rsidRPr="00A529FA">
        <w:rPr>
          <w:rFonts w:ascii="Courier New" w:hAnsi="Courier New" w:cs="Courier New"/>
        </w:rPr>
        <w:t xml:space="preserve"> PCA </w:t>
      </w:r>
      <w:r w:rsidR="003B0C33">
        <w:rPr>
          <w:rFonts w:ascii="Courier New" w:hAnsi="Courier New" w:cs="Courier New"/>
        </w:rPr>
        <w:t>Y</w:t>
      </w:r>
      <w:r w:rsidR="00C446B7" w:rsidRPr="00A529FA">
        <w:rPr>
          <w:rFonts w:ascii="Courier New" w:hAnsi="Courier New" w:cs="Courier New"/>
        </w:rPr>
        <w:t>ear, the average forecast market sales price is $</w:t>
      </w:r>
      <w:r w:rsidR="00FC17B2">
        <w:rPr>
          <w:rFonts w:ascii="Courier New" w:hAnsi="Courier New" w:cs="Courier New"/>
        </w:rPr>
        <w:t>82.96</w:t>
      </w:r>
      <w:r w:rsidR="00C446B7" w:rsidRPr="00A529FA">
        <w:rPr>
          <w:rFonts w:ascii="Courier New" w:hAnsi="Courier New" w:cs="Courier New"/>
        </w:rPr>
        <w:t xml:space="preserve"> per MWh compared with $</w:t>
      </w:r>
      <w:r w:rsidR="00FC17B2">
        <w:rPr>
          <w:rFonts w:ascii="Courier New" w:hAnsi="Courier New" w:cs="Courier New"/>
        </w:rPr>
        <w:t>51.73</w:t>
      </w:r>
      <w:r w:rsidR="00FC17B2" w:rsidRPr="00A529FA">
        <w:rPr>
          <w:rFonts w:ascii="Courier New" w:hAnsi="Courier New" w:cs="Courier New"/>
        </w:rPr>
        <w:t xml:space="preserve"> </w:t>
      </w:r>
      <w:r w:rsidR="00C446B7" w:rsidRPr="00A529FA">
        <w:rPr>
          <w:rFonts w:ascii="Courier New" w:hAnsi="Courier New" w:cs="Courier New"/>
        </w:rPr>
        <w:t xml:space="preserve">last year, a </w:t>
      </w:r>
      <w:r w:rsidR="00FC17B2">
        <w:rPr>
          <w:rFonts w:ascii="Courier New" w:hAnsi="Courier New" w:cs="Courier New"/>
        </w:rPr>
        <w:t>60</w:t>
      </w:r>
      <w:r w:rsidR="00C446B7" w:rsidRPr="00A529FA">
        <w:rPr>
          <w:rFonts w:ascii="Courier New" w:hAnsi="Courier New" w:cs="Courier New"/>
        </w:rPr>
        <w:t xml:space="preserve"> percent increase.</w:t>
      </w:r>
    </w:p>
    <w:p w14:paraId="52765314" w14:textId="77777777" w:rsidR="00EA544F" w:rsidRPr="00022A04" w:rsidRDefault="00AA743C" w:rsidP="00864420">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Q.</w:t>
      </w:r>
      <w:r>
        <w:rPr>
          <w:rFonts w:ascii="Courier New" w:hAnsi="Courier New" w:cs="Courier New"/>
        </w:rPr>
        <w:tab/>
      </w:r>
      <w:r w:rsidR="00EA544F" w:rsidRPr="00022A04">
        <w:rPr>
          <w:rFonts w:ascii="Courier New" w:hAnsi="Courier New" w:cs="Courier New"/>
        </w:rPr>
        <w:t xml:space="preserve">What factors are contributing to the change in the 100 percent sharing accounts? </w:t>
      </w:r>
    </w:p>
    <w:p w14:paraId="205DF7B8" w14:textId="4274F14F" w:rsidR="00B67C8D" w:rsidRDefault="00AA743C" w:rsidP="00864420">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A.</w:t>
      </w:r>
      <w:r>
        <w:rPr>
          <w:rFonts w:ascii="Courier New" w:hAnsi="Courier New" w:cs="Courier New"/>
        </w:rPr>
        <w:tab/>
      </w:r>
      <w:r w:rsidR="00253FD9">
        <w:rPr>
          <w:rFonts w:ascii="Courier New" w:hAnsi="Courier New" w:cs="Courier New"/>
        </w:rPr>
        <w:t>As can be seen in Table 3, f</w:t>
      </w:r>
      <w:r w:rsidR="00513F8C">
        <w:rPr>
          <w:rFonts w:ascii="Courier New" w:hAnsi="Courier New" w:cs="Courier New"/>
        </w:rPr>
        <w:t xml:space="preserve">orecast expenses included in the 100 </w:t>
      </w:r>
      <w:r w:rsidR="003900F8">
        <w:rPr>
          <w:rFonts w:ascii="Courier New" w:hAnsi="Courier New" w:cs="Courier New"/>
        </w:rPr>
        <w:t xml:space="preserve">percent </w:t>
      </w:r>
      <w:r w:rsidR="00513F8C">
        <w:rPr>
          <w:rFonts w:ascii="Courier New" w:hAnsi="Courier New" w:cs="Courier New"/>
        </w:rPr>
        <w:t xml:space="preserve">sharing accounts </w:t>
      </w:r>
      <w:r w:rsidR="008A776E">
        <w:rPr>
          <w:rFonts w:ascii="Courier New" w:hAnsi="Courier New" w:cs="Courier New"/>
        </w:rPr>
        <w:t>are expected to increase</w:t>
      </w:r>
      <w:r w:rsidR="00513F8C">
        <w:rPr>
          <w:rFonts w:ascii="Courier New" w:hAnsi="Courier New" w:cs="Courier New"/>
        </w:rPr>
        <w:t xml:space="preserve"> by </w:t>
      </w:r>
      <w:r w:rsidR="002B61AE">
        <w:rPr>
          <w:rFonts w:ascii="Courier New" w:hAnsi="Courier New" w:cs="Courier New"/>
        </w:rPr>
        <w:t>4</w:t>
      </w:r>
      <w:r w:rsidR="00513F8C">
        <w:rPr>
          <w:rFonts w:ascii="Courier New" w:hAnsi="Courier New" w:cs="Courier New"/>
        </w:rPr>
        <w:t xml:space="preserve"> percent as compared to last year, from $</w:t>
      </w:r>
      <w:r w:rsidR="00FC17B2">
        <w:rPr>
          <w:rFonts w:ascii="Courier New" w:hAnsi="Courier New" w:cs="Courier New"/>
        </w:rPr>
        <w:t>220,701,958</w:t>
      </w:r>
      <w:r w:rsidR="00055572">
        <w:rPr>
          <w:rFonts w:ascii="Courier New" w:hAnsi="Courier New" w:cs="Courier New"/>
        </w:rPr>
        <w:t xml:space="preserve"> </w:t>
      </w:r>
      <w:r w:rsidR="00513F8C">
        <w:rPr>
          <w:rFonts w:ascii="Courier New" w:hAnsi="Courier New" w:cs="Courier New"/>
        </w:rPr>
        <w:t>to $2</w:t>
      </w:r>
      <w:r w:rsidR="002B61AE">
        <w:rPr>
          <w:rFonts w:ascii="Courier New" w:hAnsi="Courier New" w:cs="Courier New"/>
        </w:rPr>
        <w:t>2</w:t>
      </w:r>
      <w:r w:rsidR="00FC17B2">
        <w:rPr>
          <w:rFonts w:ascii="Courier New" w:hAnsi="Courier New" w:cs="Courier New"/>
        </w:rPr>
        <w:t>9</w:t>
      </w:r>
      <w:r w:rsidR="00513F8C">
        <w:rPr>
          <w:rFonts w:ascii="Courier New" w:hAnsi="Courier New" w:cs="Courier New"/>
        </w:rPr>
        <w:t>,</w:t>
      </w:r>
      <w:r w:rsidR="00FC17B2">
        <w:rPr>
          <w:rFonts w:ascii="Courier New" w:hAnsi="Courier New" w:cs="Courier New"/>
        </w:rPr>
        <w:t>519</w:t>
      </w:r>
      <w:r w:rsidR="00513F8C">
        <w:rPr>
          <w:rFonts w:ascii="Courier New" w:hAnsi="Courier New" w:cs="Courier New"/>
        </w:rPr>
        <w:t>,</w:t>
      </w:r>
      <w:r w:rsidR="00FC17B2">
        <w:rPr>
          <w:rFonts w:ascii="Courier New" w:hAnsi="Courier New" w:cs="Courier New"/>
        </w:rPr>
        <w:t>920</w:t>
      </w:r>
      <w:r w:rsidR="00513F8C">
        <w:rPr>
          <w:rFonts w:ascii="Courier New" w:hAnsi="Courier New" w:cs="Courier New"/>
        </w:rPr>
        <w:t>.</w:t>
      </w:r>
      <w:r w:rsidR="0055670E">
        <w:rPr>
          <w:rFonts w:ascii="Courier New" w:hAnsi="Courier New" w:cs="Courier New"/>
        </w:rPr>
        <w:t xml:space="preserve"> F</w:t>
      </w:r>
      <w:r w:rsidR="003D5C49">
        <w:rPr>
          <w:rFonts w:ascii="Courier New" w:hAnsi="Courier New" w:cs="Courier New"/>
        </w:rPr>
        <w:t>orecast</w:t>
      </w:r>
      <w:r w:rsidR="003D5C49" w:rsidRPr="004669EC">
        <w:rPr>
          <w:rFonts w:ascii="Courier New" w:hAnsi="Courier New" w:cs="Courier New"/>
        </w:rPr>
        <w:t xml:space="preserve"> PURPA costs increased by $</w:t>
      </w:r>
      <w:r w:rsidR="00FC17B2">
        <w:rPr>
          <w:rFonts w:ascii="Courier New" w:hAnsi="Courier New" w:cs="Courier New"/>
        </w:rPr>
        <w:t>5.95</w:t>
      </w:r>
      <w:r w:rsidR="003D5C49">
        <w:rPr>
          <w:rFonts w:ascii="Courier New" w:hAnsi="Courier New" w:cs="Courier New"/>
        </w:rPr>
        <w:t xml:space="preserve"> </w:t>
      </w:r>
      <w:r w:rsidR="003D5C49" w:rsidRPr="004669EC">
        <w:rPr>
          <w:rFonts w:ascii="Courier New" w:hAnsi="Courier New" w:cs="Courier New"/>
        </w:rPr>
        <w:t xml:space="preserve">million as compared to last year’s </w:t>
      </w:r>
      <w:r w:rsidR="003D5C49" w:rsidRPr="004669EC">
        <w:rPr>
          <w:rFonts w:ascii="Courier New" w:hAnsi="Courier New" w:cs="Courier New"/>
        </w:rPr>
        <w:lastRenderedPageBreak/>
        <w:t xml:space="preserve">forecast </w:t>
      </w:r>
      <w:r w:rsidR="002B61AE">
        <w:rPr>
          <w:rFonts w:ascii="Courier New" w:hAnsi="Courier New" w:cs="Courier New"/>
        </w:rPr>
        <w:t>and</w:t>
      </w:r>
      <w:r w:rsidR="003D5C49" w:rsidRPr="004669EC">
        <w:rPr>
          <w:rFonts w:ascii="Courier New" w:hAnsi="Courier New" w:cs="Courier New"/>
        </w:rPr>
        <w:t xml:space="preserve"> </w:t>
      </w:r>
      <w:r w:rsidR="003D5C49">
        <w:rPr>
          <w:rFonts w:ascii="Courier New" w:hAnsi="Courier New" w:cs="Courier New"/>
        </w:rPr>
        <w:t xml:space="preserve">forecast </w:t>
      </w:r>
      <w:r w:rsidR="003D5C49" w:rsidRPr="004669EC">
        <w:rPr>
          <w:rFonts w:ascii="Courier New" w:hAnsi="Courier New" w:cs="Courier New"/>
        </w:rPr>
        <w:t>demand response incentive payments</w:t>
      </w:r>
      <w:r w:rsidR="002B61AE">
        <w:rPr>
          <w:rFonts w:ascii="Courier New" w:hAnsi="Courier New" w:cs="Courier New"/>
        </w:rPr>
        <w:t xml:space="preserve"> increased by $</w:t>
      </w:r>
      <w:r w:rsidR="00FC17B2">
        <w:rPr>
          <w:rFonts w:ascii="Courier New" w:hAnsi="Courier New" w:cs="Courier New"/>
        </w:rPr>
        <w:t>2.9</w:t>
      </w:r>
      <w:r w:rsidR="002B61AE">
        <w:rPr>
          <w:rFonts w:ascii="Courier New" w:hAnsi="Courier New" w:cs="Courier New"/>
        </w:rPr>
        <w:t xml:space="preserve"> million as compared to last year.</w:t>
      </w:r>
      <w:r w:rsidR="00111C0D">
        <w:rPr>
          <w:rFonts w:ascii="Courier New" w:hAnsi="Courier New" w:cs="Courier New"/>
        </w:rPr>
        <w:t xml:space="preserve"> </w:t>
      </w:r>
    </w:p>
    <w:p w14:paraId="4FF502F8" w14:textId="77777777" w:rsidR="003D5C49" w:rsidRPr="004669EC" w:rsidRDefault="003D5C49" w:rsidP="003D5C49">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Q.</w:t>
      </w:r>
      <w:r>
        <w:rPr>
          <w:rFonts w:ascii="Courier New" w:hAnsi="Courier New" w:cs="Courier New"/>
        </w:rPr>
        <w:tab/>
      </w:r>
      <w:r w:rsidRPr="004669EC">
        <w:rPr>
          <w:rFonts w:ascii="Courier New" w:hAnsi="Courier New" w:cs="Courier New"/>
        </w:rPr>
        <w:t xml:space="preserve">Is the increase in </w:t>
      </w:r>
      <w:r>
        <w:rPr>
          <w:rFonts w:ascii="Courier New" w:hAnsi="Courier New" w:cs="Courier New"/>
        </w:rPr>
        <w:t xml:space="preserve">forecast </w:t>
      </w:r>
      <w:r w:rsidRPr="004669EC">
        <w:rPr>
          <w:rFonts w:ascii="Courier New" w:hAnsi="Courier New" w:cs="Courier New"/>
        </w:rPr>
        <w:t>PURPA costs related to increased generation output from PURPA projects?</w:t>
      </w:r>
    </w:p>
    <w:p w14:paraId="057FB59F" w14:textId="55AC8C23" w:rsidR="00564723" w:rsidRDefault="003D5C49" w:rsidP="00564723">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A.</w:t>
      </w:r>
      <w:r>
        <w:rPr>
          <w:rFonts w:ascii="Courier New" w:hAnsi="Courier New" w:cs="Courier New"/>
        </w:rPr>
        <w:tab/>
        <w:t>In part</w:t>
      </w:r>
      <w:r w:rsidRPr="004669EC">
        <w:rPr>
          <w:rFonts w:ascii="Courier New" w:hAnsi="Courier New" w:cs="Courier New"/>
        </w:rPr>
        <w:t xml:space="preserve">.  Table </w:t>
      </w:r>
      <w:r>
        <w:rPr>
          <w:rFonts w:ascii="Courier New" w:hAnsi="Courier New" w:cs="Courier New"/>
        </w:rPr>
        <w:t>4</w:t>
      </w:r>
      <w:r w:rsidRPr="004669EC">
        <w:rPr>
          <w:rFonts w:ascii="Courier New" w:hAnsi="Courier New" w:cs="Courier New"/>
        </w:rPr>
        <w:t xml:space="preserve"> details changes between last year’s PCA forecast and this year’s PCA forecast with respect to forecasted generation </w:t>
      </w:r>
      <w:r>
        <w:rPr>
          <w:rFonts w:ascii="Courier New" w:hAnsi="Courier New" w:cs="Courier New"/>
        </w:rPr>
        <w:t>in MWh</w:t>
      </w:r>
      <w:r w:rsidRPr="004669EC">
        <w:rPr>
          <w:rFonts w:ascii="Courier New" w:hAnsi="Courier New" w:cs="Courier New"/>
        </w:rPr>
        <w:t xml:space="preserve">.  As shown in Table </w:t>
      </w:r>
      <w:r>
        <w:rPr>
          <w:rFonts w:ascii="Courier New" w:hAnsi="Courier New" w:cs="Courier New"/>
        </w:rPr>
        <w:t>4</w:t>
      </w:r>
      <w:r w:rsidRPr="004669EC">
        <w:rPr>
          <w:rFonts w:ascii="Courier New" w:hAnsi="Courier New" w:cs="Courier New"/>
        </w:rPr>
        <w:t>, PURPA</w:t>
      </w:r>
      <w:r>
        <w:rPr>
          <w:rFonts w:ascii="Courier New" w:hAnsi="Courier New" w:cs="Courier New"/>
        </w:rPr>
        <w:t xml:space="preserve"> generation is anticipated to increase</w:t>
      </w:r>
      <w:r w:rsidRPr="004669EC">
        <w:rPr>
          <w:rFonts w:ascii="Courier New" w:hAnsi="Courier New" w:cs="Courier New"/>
        </w:rPr>
        <w:t xml:space="preserve"> by </w:t>
      </w:r>
      <w:r w:rsidR="002B61AE">
        <w:rPr>
          <w:rFonts w:ascii="Courier New" w:hAnsi="Courier New" w:cs="Courier New"/>
        </w:rPr>
        <w:t>1</w:t>
      </w:r>
      <w:r w:rsidR="00192746">
        <w:rPr>
          <w:rFonts w:ascii="Courier New" w:hAnsi="Courier New" w:cs="Courier New"/>
        </w:rPr>
        <w:t>9</w:t>
      </w:r>
      <w:r w:rsidR="002B61AE">
        <w:rPr>
          <w:rFonts w:ascii="Courier New" w:hAnsi="Courier New" w:cs="Courier New"/>
        </w:rPr>
        <w:t>,</w:t>
      </w:r>
      <w:r w:rsidR="00192746">
        <w:rPr>
          <w:rFonts w:ascii="Courier New" w:hAnsi="Courier New" w:cs="Courier New"/>
        </w:rPr>
        <w:t>189</w:t>
      </w:r>
      <w:r w:rsidRPr="004669EC">
        <w:rPr>
          <w:rFonts w:ascii="Courier New" w:hAnsi="Courier New" w:cs="Courier New"/>
        </w:rPr>
        <w:t xml:space="preserve"> MWh, or </w:t>
      </w:r>
      <w:r>
        <w:rPr>
          <w:rFonts w:ascii="Courier New" w:hAnsi="Courier New" w:cs="Courier New"/>
        </w:rPr>
        <w:t xml:space="preserve">less than </w:t>
      </w:r>
      <w:r w:rsidR="002B61AE">
        <w:rPr>
          <w:rFonts w:ascii="Courier New" w:hAnsi="Courier New" w:cs="Courier New"/>
        </w:rPr>
        <w:t>1</w:t>
      </w:r>
      <w:r w:rsidRPr="004669EC">
        <w:rPr>
          <w:rFonts w:ascii="Courier New" w:hAnsi="Courier New" w:cs="Courier New"/>
        </w:rPr>
        <w:t xml:space="preserve"> percent</w:t>
      </w:r>
      <w:r>
        <w:rPr>
          <w:rFonts w:ascii="Courier New" w:hAnsi="Courier New" w:cs="Courier New"/>
        </w:rPr>
        <w:t xml:space="preserve">. The </w:t>
      </w:r>
      <w:r w:rsidR="00192746">
        <w:rPr>
          <w:rFonts w:ascii="Courier New" w:hAnsi="Courier New" w:cs="Courier New"/>
        </w:rPr>
        <w:t>3</w:t>
      </w:r>
      <w:r w:rsidR="00E87867">
        <w:rPr>
          <w:rFonts w:ascii="Courier New" w:hAnsi="Courier New" w:cs="Courier New"/>
        </w:rPr>
        <w:t xml:space="preserve"> percent </w:t>
      </w:r>
      <w:r>
        <w:rPr>
          <w:rFonts w:ascii="Courier New" w:hAnsi="Courier New" w:cs="Courier New"/>
        </w:rPr>
        <w:t>increase in PURPA expense is largely the result of price escalation in PURPA contracts</w:t>
      </w:r>
      <w:r w:rsidR="00BC25D0">
        <w:rPr>
          <w:rFonts w:ascii="Courier New" w:hAnsi="Courier New" w:cs="Courier New"/>
        </w:rPr>
        <w:t xml:space="preserve">, </w:t>
      </w:r>
      <w:r w:rsidR="0055670E">
        <w:rPr>
          <w:rFonts w:ascii="Courier New" w:hAnsi="Courier New" w:cs="Courier New"/>
        </w:rPr>
        <w:t>for which</w:t>
      </w:r>
      <w:r w:rsidR="00BC25D0">
        <w:rPr>
          <w:rFonts w:ascii="Courier New" w:hAnsi="Courier New" w:cs="Courier New"/>
        </w:rPr>
        <w:t xml:space="preserve"> the average cost is $</w:t>
      </w:r>
      <w:r w:rsidR="00192746">
        <w:rPr>
          <w:rFonts w:ascii="Courier New" w:hAnsi="Courier New" w:cs="Courier New"/>
        </w:rPr>
        <w:t>71.47</w:t>
      </w:r>
      <w:r w:rsidR="00BC25D0">
        <w:rPr>
          <w:rFonts w:ascii="Courier New" w:hAnsi="Courier New" w:cs="Courier New"/>
        </w:rPr>
        <w:t xml:space="preserve"> per MWh</w:t>
      </w:r>
      <w:r w:rsidR="0055670E">
        <w:rPr>
          <w:rFonts w:ascii="Courier New" w:hAnsi="Courier New" w:cs="Courier New"/>
        </w:rPr>
        <w:t>, compared to $</w:t>
      </w:r>
      <w:r w:rsidR="00192746">
        <w:rPr>
          <w:rFonts w:ascii="Courier New" w:hAnsi="Courier New" w:cs="Courier New"/>
        </w:rPr>
        <w:t xml:space="preserve">69.96 </w:t>
      </w:r>
      <w:r w:rsidR="0055670E">
        <w:rPr>
          <w:rFonts w:ascii="Courier New" w:hAnsi="Courier New" w:cs="Courier New"/>
        </w:rPr>
        <w:t xml:space="preserve">last year. </w:t>
      </w:r>
      <w:r>
        <w:rPr>
          <w:rFonts w:ascii="Courier New" w:hAnsi="Courier New" w:cs="Courier New"/>
        </w:rPr>
        <w:t xml:space="preserve"> </w:t>
      </w:r>
    </w:p>
    <w:tbl>
      <w:tblPr>
        <w:tblW w:w="9535" w:type="dxa"/>
        <w:jc w:val="center"/>
        <w:tblLook w:val="04A0" w:firstRow="1" w:lastRow="0" w:firstColumn="1" w:lastColumn="0" w:noHBand="0" w:noVBand="1"/>
      </w:tblPr>
      <w:tblGrid>
        <w:gridCol w:w="840"/>
        <w:gridCol w:w="3590"/>
        <w:gridCol w:w="1814"/>
        <w:gridCol w:w="1588"/>
        <w:gridCol w:w="1703"/>
      </w:tblGrid>
      <w:tr w:rsidR="002B61AE" w:rsidRPr="002B61AE" w14:paraId="0FF4E2C4" w14:textId="77777777" w:rsidTr="00C1568C">
        <w:trPr>
          <w:trHeight w:val="30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739DB" w14:textId="77777777" w:rsidR="002B61AE" w:rsidRPr="002B61AE" w:rsidRDefault="002B61AE" w:rsidP="002B61AE">
            <w:pPr>
              <w:rPr>
                <w:rFonts w:ascii="Calibri" w:hAnsi="Calibri" w:cs="Calibri"/>
                <w:b/>
                <w:bCs/>
                <w:color w:val="000000"/>
                <w:sz w:val="18"/>
                <w:szCs w:val="18"/>
              </w:rPr>
            </w:pPr>
            <w:r w:rsidRPr="002B61AE">
              <w:rPr>
                <w:rFonts w:ascii="Calibri" w:hAnsi="Calibri" w:cs="Calibri"/>
                <w:b/>
                <w:bCs/>
                <w:color w:val="000000"/>
                <w:sz w:val="18"/>
                <w:szCs w:val="18"/>
              </w:rPr>
              <w:t>Table 4</w:t>
            </w:r>
          </w:p>
        </w:tc>
        <w:tc>
          <w:tcPr>
            <w:tcW w:w="8695"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62336AB" w14:textId="77777777" w:rsidR="002B61AE" w:rsidRPr="002B61AE" w:rsidRDefault="002B61AE" w:rsidP="002B61AE">
            <w:pPr>
              <w:jc w:val="center"/>
              <w:rPr>
                <w:rFonts w:ascii="Calibri" w:hAnsi="Calibri" w:cs="Calibri"/>
                <w:b/>
                <w:bCs/>
                <w:color w:val="000000"/>
                <w:sz w:val="18"/>
                <w:szCs w:val="18"/>
              </w:rPr>
            </w:pPr>
            <w:r w:rsidRPr="002B61AE">
              <w:rPr>
                <w:rFonts w:ascii="Calibri" w:hAnsi="Calibri" w:cs="Calibri"/>
                <w:b/>
                <w:bCs/>
                <w:color w:val="000000"/>
                <w:sz w:val="18"/>
                <w:szCs w:val="18"/>
              </w:rPr>
              <w:t>PCA Forecast Comparison Generation (Total System-MWh)</w:t>
            </w:r>
          </w:p>
        </w:tc>
      </w:tr>
      <w:tr w:rsidR="002B61AE" w:rsidRPr="002B61AE" w14:paraId="7D7B519A" w14:textId="77777777" w:rsidTr="00C1568C">
        <w:trPr>
          <w:trHeight w:val="300"/>
          <w:jc w:val="center"/>
        </w:trPr>
        <w:tc>
          <w:tcPr>
            <w:tcW w:w="840" w:type="dxa"/>
            <w:tcBorders>
              <w:top w:val="nil"/>
              <w:left w:val="single" w:sz="4" w:space="0" w:color="auto"/>
              <w:bottom w:val="nil"/>
              <w:right w:val="single" w:sz="4" w:space="0" w:color="auto"/>
            </w:tcBorders>
            <w:shd w:val="clear" w:color="auto" w:fill="auto"/>
            <w:noWrap/>
            <w:vAlign w:val="bottom"/>
            <w:hideMark/>
          </w:tcPr>
          <w:p w14:paraId="40AC25DC" w14:textId="77777777" w:rsidR="002B61AE" w:rsidRPr="002B61AE" w:rsidRDefault="002B61AE" w:rsidP="002B61AE">
            <w:pPr>
              <w:rPr>
                <w:rFonts w:ascii="Calibri" w:hAnsi="Calibri" w:cs="Calibri"/>
                <w:b/>
                <w:bCs/>
                <w:color w:val="000000"/>
                <w:sz w:val="18"/>
                <w:szCs w:val="18"/>
              </w:rPr>
            </w:pPr>
            <w:r w:rsidRPr="002B61AE">
              <w:rPr>
                <w:rFonts w:ascii="Calibri" w:hAnsi="Calibri" w:cs="Calibri"/>
                <w:b/>
                <w:bCs/>
                <w:color w:val="000000"/>
                <w:sz w:val="18"/>
                <w:szCs w:val="18"/>
              </w:rPr>
              <w:t> </w:t>
            </w:r>
          </w:p>
        </w:tc>
        <w:tc>
          <w:tcPr>
            <w:tcW w:w="3590" w:type="dxa"/>
            <w:tcBorders>
              <w:top w:val="nil"/>
              <w:left w:val="nil"/>
              <w:bottom w:val="nil"/>
              <w:right w:val="nil"/>
            </w:tcBorders>
            <w:shd w:val="clear" w:color="auto" w:fill="auto"/>
            <w:noWrap/>
            <w:vAlign w:val="bottom"/>
            <w:hideMark/>
          </w:tcPr>
          <w:p w14:paraId="27354CA7" w14:textId="77777777" w:rsidR="002B61AE" w:rsidRPr="002B61AE" w:rsidRDefault="002B61AE" w:rsidP="002B61AE">
            <w:pPr>
              <w:rPr>
                <w:rFonts w:ascii="Calibri" w:hAnsi="Calibri" w:cs="Calibri"/>
                <w:color w:val="000000"/>
                <w:sz w:val="18"/>
                <w:szCs w:val="18"/>
              </w:rPr>
            </w:pPr>
            <w:r w:rsidRPr="002B61AE">
              <w:rPr>
                <w:rFonts w:ascii="Calibri" w:hAnsi="Calibri" w:cs="Calibri"/>
                <w:color w:val="000000"/>
                <w:sz w:val="18"/>
                <w:szCs w:val="18"/>
              </w:rPr>
              <w:t> </w:t>
            </w:r>
          </w:p>
        </w:tc>
        <w:tc>
          <w:tcPr>
            <w:tcW w:w="1814" w:type="dxa"/>
            <w:tcBorders>
              <w:top w:val="nil"/>
              <w:left w:val="nil"/>
              <w:bottom w:val="nil"/>
              <w:right w:val="nil"/>
            </w:tcBorders>
            <w:shd w:val="clear" w:color="auto" w:fill="auto"/>
            <w:noWrap/>
            <w:vAlign w:val="bottom"/>
            <w:hideMark/>
          </w:tcPr>
          <w:p w14:paraId="42CA7371" w14:textId="77777777" w:rsidR="002B61AE" w:rsidRPr="002B61AE" w:rsidRDefault="002B61AE" w:rsidP="002B61AE">
            <w:pPr>
              <w:rPr>
                <w:rFonts w:ascii="Calibri" w:hAnsi="Calibri" w:cs="Calibri"/>
                <w:color w:val="000000"/>
                <w:sz w:val="18"/>
                <w:szCs w:val="18"/>
              </w:rPr>
            </w:pPr>
          </w:p>
        </w:tc>
        <w:tc>
          <w:tcPr>
            <w:tcW w:w="1588" w:type="dxa"/>
            <w:tcBorders>
              <w:top w:val="nil"/>
              <w:left w:val="nil"/>
              <w:bottom w:val="nil"/>
              <w:right w:val="nil"/>
            </w:tcBorders>
            <w:shd w:val="clear" w:color="auto" w:fill="auto"/>
            <w:noWrap/>
            <w:vAlign w:val="bottom"/>
            <w:hideMark/>
          </w:tcPr>
          <w:p w14:paraId="6BBB888B" w14:textId="77777777" w:rsidR="002B61AE" w:rsidRPr="002B61AE" w:rsidRDefault="002B61AE" w:rsidP="002B61AE">
            <w:pPr>
              <w:rPr>
                <w:rFonts w:ascii="Times New Roman" w:hAnsi="Times New Roman"/>
                <w:sz w:val="20"/>
              </w:rPr>
            </w:pPr>
          </w:p>
        </w:tc>
        <w:tc>
          <w:tcPr>
            <w:tcW w:w="1703" w:type="dxa"/>
            <w:tcBorders>
              <w:top w:val="nil"/>
              <w:left w:val="nil"/>
              <w:bottom w:val="nil"/>
              <w:right w:val="single" w:sz="4" w:space="0" w:color="auto"/>
            </w:tcBorders>
            <w:shd w:val="clear" w:color="auto" w:fill="auto"/>
            <w:noWrap/>
            <w:vAlign w:val="bottom"/>
            <w:hideMark/>
          </w:tcPr>
          <w:p w14:paraId="14723C2D" w14:textId="77777777" w:rsidR="002B61AE" w:rsidRPr="002B61AE" w:rsidRDefault="002B61AE" w:rsidP="002B61AE">
            <w:pPr>
              <w:rPr>
                <w:rFonts w:ascii="Calibri" w:hAnsi="Calibri" w:cs="Calibri"/>
                <w:color w:val="000000"/>
                <w:sz w:val="18"/>
                <w:szCs w:val="18"/>
              </w:rPr>
            </w:pPr>
            <w:r w:rsidRPr="002B61AE">
              <w:rPr>
                <w:rFonts w:ascii="Calibri" w:hAnsi="Calibri" w:cs="Calibri"/>
                <w:color w:val="000000"/>
                <w:sz w:val="18"/>
                <w:szCs w:val="18"/>
              </w:rPr>
              <w:t> </w:t>
            </w:r>
          </w:p>
        </w:tc>
      </w:tr>
      <w:tr w:rsidR="002B61AE" w:rsidRPr="002B61AE" w14:paraId="4FAAA991" w14:textId="77777777" w:rsidTr="00C1568C">
        <w:trPr>
          <w:trHeight w:val="80"/>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7EF6772E" w14:textId="77777777" w:rsidR="002B61AE" w:rsidRPr="002B61AE" w:rsidRDefault="002B61AE" w:rsidP="002B61AE">
            <w:pPr>
              <w:rPr>
                <w:rFonts w:ascii="Calibri" w:hAnsi="Calibri" w:cs="Calibri"/>
                <w:b/>
                <w:bCs/>
                <w:color w:val="000000"/>
                <w:sz w:val="18"/>
                <w:szCs w:val="18"/>
              </w:rPr>
            </w:pPr>
            <w:r w:rsidRPr="002B61AE">
              <w:rPr>
                <w:rFonts w:ascii="Calibri" w:hAnsi="Calibri" w:cs="Calibri"/>
                <w:b/>
                <w:bCs/>
                <w:color w:val="000000"/>
                <w:sz w:val="18"/>
                <w:szCs w:val="18"/>
              </w:rPr>
              <w:t>Line No.</w:t>
            </w:r>
          </w:p>
        </w:tc>
        <w:tc>
          <w:tcPr>
            <w:tcW w:w="3590" w:type="dxa"/>
            <w:tcBorders>
              <w:top w:val="nil"/>
              <w:left w:val="nil"/>
              <w:bottom w:val="single" w:sz="4" w:space="0" w:color="auto"/>
              <w:right w:val="nil"/>
            </w:tcBorders>
            <w:shd w:val="clear" w:color="auto" w:fill="auto"/>
            <w:noWrap/>
            <w:vAlign w:val="bottom"/>
            <w:hideMark/>
          </w:tcPr>
          <w:p w14:paraId="504711D3" w14:textId="77777777" w:rsidR="002B61AE" w:rsidRPr="002B61AE" w:rsidRDefault="002B61AE" w:rsidP="002B61AE">
            <w:pPr>
              <w:jc w:val="center"/>
              <w:rPr>
                <w:rFonts w:ascii="Calibri" w:hAnsi="Calibri" w:cs="Calibri"/>
                <w:b/>
                <w:bCs/>
                <w:color w:val="000000"/>
                <w:sz w:val="18"/>
                <w:szCs w:val="18"/>
              </w:rPr>
            </w:pPr>
            <w:r w:rsidRPr="002B61AE">
              <w:rPr>
                <w:rFonts w:ascii="Calibri" w:hAnsi="Calibri" w:cs="Calibri"/>
                <w:b/>
                <w:bCs/>
                <w:color w:val="000000"/>
                <w:sz w:val="18"/>
                <w:szCs w:val="18"/>
              </w:rPr>
              <w:t>FERC Account</w:t>
            </w:r>
          </w:p>
        </w:tc>
        <w:tc>
          <w:tcPr>
            <w:tcW w:w="1814" w:type="dxa"/>
            <w:tcBorders>
              <w:top w:val="nil"/>
              <w:left w:val="nil"/>
              <w:bottom w:val="single" w:sz="4" w:space="0" w:color="auto"/>
              <w:right w:val="nil"/>
            </w:tcBorders>
            <w:shd w:val="clear" w:color="auto" w:fill="auto"/>
            <w:vAlign w:val="bottom"/>
            <w:hideMark/>
          </w:tcPr>
          <w:p w14:paraId="5183BE11" w14:textId="6498E517" w:rsidR="002B61AE" w:rsidRPr="002B61AE" w:rsidRDefault="00202300" w:rsidP="002B61AE">
            <w:pPr>
              <w:jc w:val="center"/>
              <w:rPr>
                <w:rFonts w:ascii="Calibri" w:hAnsi="Calibri" w:cs="Calibri"/>
                <w:b/>
                <w:bCs/>
                <w:color w:val="000000"/>
                <w:sz w:val="18"/>
                <w:szCs w:val="18"/>
              </w:rPr>
            </w:pPr>
            <w:r>
              <w:rPr>
                <w:rFonts w:ascii="Calibri" w:hAnsi="Calibri" w:cs="Calibri"/>
                <w:b/>
                <w:bCs/>
                <w:color w:val="000000"/>
                <w:sz w:val="18"/>
                <w:szCs w:val="18"/>
              </w:rPr>
              <w:t>2022</w:t>
            </w:r>
            <w:r w:rsidR="002B61AE" w:rsidRPr="002B61AE">
              <w:rPr>
                <w:rFonts w:ascii="Calibri" w:hAnsi="Calibri" w:cs="Calibri"/>
                <w:b/>
                <w:bCs/>
                <w:color w:val="000000"/>
                <w:sz w:val="18"/>
                <w:szCs w:val="18"/>
              </w:rPr>
              <w:t>-</w:t>
            </w:r>
            <w:r>
              <w:rPr>
                <w:rFonts w:ascii="Calibri" w:hAnsi="Calibri" w:cs="Calibri"/>
                <w:b/>
                <w:bCs/>
                <w:color w:val="000000"/>
                <w:sz w:val="18"/>
                <w:szCs w:val="18"/>
              </w:rPr>
              <w:t>2023</w:t>
            </w:r>
            <w:r w:rsidR="002B61AE" w:rsidRPr="002B61AE">
              <w:rPr>
                <w:rFonts w:ascii="Calibri" w:hAnsi="Calibri" w:cs="Calibri"/>
                <w:b/>
                <w:bCs/>
                <w:color w:val="000000"/>
                <w:sz w:val="18"/>
                <w:szCs w:val="18"/>
              </w:rPr>
              <w:t xml:space="preserve"> Forecast</w:t>
            </w:r>
          </w:p>
        </w:tc>
        <w:tc>
          <w:tcPr>
            <w:tcW w:w="1588" w:type="dxa"/>
            <w:tcBorders>
              <w:top w:val="nil"/>
              <w:left w:val="nil"/>
              <w:bottom w:val="single" w:sz="4" w:space="0" w:color="auto"/>
              <w:right w:val="nil"/>
            </w:tcBorders>
            <w:shd w:val="clear" w:color="auto" w:fill="auto"/>
            <w:vAlign w:val="bottom"/>
            <w:hideMark/>
          </w:tcPr>
          <w:p w14:paraId="461F7A07" w14:textId="0B3A1813" w:rsidR="002B61AE" w:rsidRPr="002B61AE" w:rsidRDefault="00202300" w:rsidP="002B61AE">
            <w:pPr>
              <w:jc w:val="center"/>
              <w:rPr>
                <w:rFonts w:ascii="Calibri" w:hAnsi="Calibri" w:cs="Calibri"/>
                <w:b/>
                <w:bCs/>
                <w:color w:val="000000"/>
                <w:sz w:val="18"/>
                <w:szCs w:val="18"/>
              </w:rPr>
            </w:pPr>
            <w:r>
              <w:rPr>
                <w:rFonts w:ascii="Calibri" w:hAnsi="Calibri" w:cs="Calibri"/>
                <w:b/>
                <w:bCs/>
                <w:color w:val="000000"/>
                <w:sz w:val="18"/>
                <w:szCs w:val="18"/>
              </w:rPr>
              <w:t>2023</w:t>
            </w:r>
            <w:r w:rsidR="002B61AE" w:rsidRPr="002B61AE">
              <w:rPr>
                <w:rFonts w:ascii="Calibri" w:hAnsi="Calibri" w:cs="Calibri"/>
                <w:b/>
                <w:bCs/>
                <w:color w:val="000000"/>
                <w:sz w:val="18"/>
                <w:szCs w:val="18"/>
              </w:rPr>
              <w:t>-</w:t>
            </w:r>
            <w:r>
              <w:rPr>
                <w:rFonts w:ascii="Calibri" w:hAnsi="Calibri" w:cs="Calibri"/>
                <w:b/>
                <w:bCs/>
                <w:color w:val="000000"/>
                <w:sz w:val="18"/>
                <w:szCs w:val="18"/>
              </w:rPr>
              <w:t>2024</w:t>
            </w:r>
            <w:r w:rsidR="002B61AE" w:rsidRPr="002B61AE">
              <w:rPr>
                <w:rFonts w:ascii="Calibri" w:hAnsi="Calibri" w:cs="Calibri"/>
                <w:b/>
                <w:bCs/>
                <w:color w:val="000000"/>
                <w:sz w:val="18"/>
                <w:szCs w:val="18"/>
              </w:rPr>
              <w:t xml:space="preserve"> Forecast</w:t>
            </w:r>
          </w:p>
        </w:tc>
        <w:tc>
          <w:tcPr>
            <w:tcW w:w="1703" w:type="dxa"/>
            <w:tcBorders>
              <w:top w:val="nil"/>
              <w:left w:val="nil"/>
              <w:bottom w:val="single" w:sz="4" w:space="0" w:color="auto"/>
              <w:right w:val="single" w:sz="4" w:space="0" w:color="auto"/>
            </w:tcBorders>
            <w:shd w:val="clear" w:color="auto" w:fill="auto"/>
            <w:vAlign w:val="bottom"/>
            <w:hideMark/>
          </w:tcPr>
          <w:p w14:paraId="40992EF1" w14:textId="77777777" w:rsidR="002B61AE" w:rsidRPr="002B61AE" w:rsidRDefault="002B61AE" w:rsidP="002B61AE">
            <w:pPr>
              <w:jc w:val="center"/>
              <w:rPr>
                <w:rFonts w:ascii="Calibri" w:hAnsi="Calibri" w:cs="Calibri"/>
                <w:b/>
                <w:bCs/>
                <w:color w:val="000000"/>
                <w:sz w:val="18"/>
                <w:szCs w:val="18"/>
              </w:rPr>
            </w:pPr>
            <w:r w:rsidRPr="002B61AE">
              <w:rPr>
                <w:rFonts w:ascii="Calibri" w:hAnsi="Calibri" w:cs="Calibri"/>
                <w:b/>
                <w:bCs/>
                <w:color w:val="000000"/>
                <w:sz w:val="18"/>
                <w:szCs w:val="18"/>
              </w:rPr>
              <w:t>Difference</w:t>
            </w:r>
          </w:p>
        </w:tc>
      </w:tr>
      <w:tr w:rsidR="001A25D2" w:rsidRPr="002B61AE" w14:paraId="6030EF22" w14:textId="77777777" w:rsidTr="00C1568C">
        <w:trPr>
          <w:trHeight w:val="300"/>
          <w:jc w:val="center"/>
        </w:trPr>
        <w:tc>
          <w:tcPr>
            <w:tcW w:w="840" w:type="dxa"/>
            <w:tcBorders>
              <w:top w:val="nil"/>
              <w:left w:val="single" w:sz="4" w:space="0" w:color="auto"/>
              <w:bottom w:val="nil"/>
              <w:right w:val="single" w:sz="4" w:space="0" w:color="auto"/>
            </w:tcBorders>
            <w:shd w:val="clear" w:color="auto" w:fill="auto"/>
            <w:noWrap/>
            <w:vAlign w:val="bottom"/>
            <w:hideMark/>
          </w:tcPr>
          <w:p w14:paraId="61380D98" w14:textId="77777777" w:rsidR="001A25D2" w:rsidRPr="002B61AE" w:rsidRDefault="001A25D2" w:rsidP="001A25D2">
            <w:pPr>
              <w:jc w:val="center"/>
              <w:rPr>
                <w:rFonts w:ascii="Calibri" w:hAnsi="Calibri" w:cs="Calibri"/>
                <w:color w:val="000000"/>
                <w:sz w:val="18"/>
                <w:szCs w:val="18"/>
              </w:rPr>
            </w:pPr>
            <w:r w:rsidRPr="002B61AE">
              <w:rPr>
                <w:rFonts w:ascii="Calibri" w:hAnsi="Calibri" w:cs="Calibri"/>
                <w:color w:val="000000"/>
                <w:sz w:val="18"/>
                <w:szCs w:val="18"/>
              </w:rPr>
              <w:t>1</w:t>
            </w:r>
          </w:p>
        </w:tc>
        <w:tc>
          <w:tcPr>
            <w:tcW w:w="3590" w:type="dxa"/>
            <w:tcBorders>
              <w:top w:val="nil"/>
              <w:left w:val="nil"/>
              <w:bottom w:val="nil"/>
              <w:right w:val="nil"/>
            </w:tcBorders>
            <w:shd w:val="clear" w:color="auto" w:fill="auto"/>
            <w:noWrap/>
            <w:vAlign w:val="bottom"/>
            <w:hideMark/>
          </w:tcPr>
          <w:p w14:paraId="3E6E6BF7" w14:textId="77777777" w:rsidR="001A25D2" w:rsidRPr="002B61AE" w:rsidRDefault="001A25D2" w:rsidP="001A25D2">
            <w:pPr>
              <w:rPr>
                <w:rFonts w:ascii="Calibri" w:hAnsi="Calibri" w:cs="Calibri"/>
                <w:color w:val="000000"/>
                <w:sz w:val="18"/>
                <w:szCs w:val="18"/>
              </w:rPr>
            </w:pPr>
            <w:r w:rsidRPr="002B61AE">
              <w:rPr>
                <w:rFonts w:ascii="Calibri" w:hAnsi="Calibri" w:cs="Calibri"/>
                <w:color w:val="000000"/>
                <w:sz w:val="18"/>
                <w:szCs w:val="18"/>
              </w:rPr>
              <w:t>Hydro</w:t>
            </w:r>
          </w:p>
        </w:tc>
        <w:tc>
          <w:tcPr>
            <w:tcW w:w="1814" w:type="dxa"/>
            <w:tcBorders>
              <w:top w:val="nil"/>
              <w:left w:val="nil"/>
              <w:bottom w:val="nil"/>
              <w:right w:val="nil"/>
            </w:tcBorders>
            <w:shd w:val="clear" w:color="auto" w:fill="auto"/>
            <w:vAlign w:val="bottom"/>
            <w:hideMark/>
          </w:tcPr>
          <w:p w14:paraId="2D30C437" w14:textId="60BB3C55" w:rsidR="001A25D2" w:rsidRPr="002B61AE" w:rsidRDefault="001A25D2" w:rsidP="001A25D2">
            <w:pPr>
              <w:jc w:val="right"/>
              <w:rPr>
                <w:rFonts w:ascii="Calibri" w:hAnsi="Calibri" w:cs="Calibri"/>
                <w:color w:val="000000"/>
                <w:sz w:val="18"/>
                <w:szCs w:val="18"/>
              </w:rPr>
            </w:pPr>
            <w:r w:rsidRPr="002B61AE">
              <w:rPr>
                <w:rFonts w:ascii="Calibri" w:hAnsi="Calibri" w:cs="Calibri"/>
                <w:color w:val="000000"/>
                <w:sz w:val="18"/>
                <w:szCs w:val="18"/>
              </w:rPr>
              <w:t xml:space="preserve">              5,972,743 </w:t>
            </w:r>
          </w:p>
        </w:tc>
        <w:tc>
          <w:tcPr>
            <w:tcW w:w="1588" w:type="dxa"/>
            <w:tcBorders>
              <w:top w:val="nil"/>
              <w:left w:val="nil"/>
              <w:bottom w:val="nil"/>
              <w:right w:val="nil"/>
            </w:tcBorders>
            <w:shd w:val="clear" w:color="auto" w:fill="auto"/>
            <w:vAlign w:val="bottom"/>
            <w:hideMark/>
          </w:tcPr>
          <w:p w14:paraId="42E43185" w14:textId="303DB3E1" w:rsidR="001A25D2" w:rsidRPr="002B61AE" w:rsidRDefault="001A25D2" w:rsidP="001A25D2">
            <w:pPr>
              <w:jc w:val="right"/>
              <w:rPr>
                <w:rFonts w:ascii="Calibri" w:hAnsi="Calibri" w:cs="Calibri"/>
                <w:color w:val="000000"/>
                <w:sz w:val="18"/>
                <w:szCs w:val="18"/>
              </w:rPr>
            </w:pPr>
            <w:r w:rsidRPr="002B61AE">
              <w:rPr>
                <w:rFonts w:ascii="Calibri" w:hAnsi="Calibri" w:cs="Calibri"/>
                <w:color w:val="000000"/>
                <w:sz w:val="18"/>
                <w:szCs w:val="18"/>
              </w:rPr>
              <w:t xml:space="preserve">              </w:t>
            </w:r>
            <w:r>
              <w:rPr>
                <w:rFonts w:ascii="Calibri" w:hAnsi="Calibri" w:cs="Calibri"/>
                <w:color w:val="000000"/>
                <w:sz w:val="18"/>
                <w:szCs w:val="18"/>
              </w:rPr>
              <w:t>6,487,995</w:t>
            </w:r>
            <w:r w:rsidRPr="002B61AE">
              <w:rPr>
                <w:rFonts w:ascii="Calibri" w:hAnsi="Calibri" w:cs="Calibri"/>
                <w:color w:val="000000"/>
                <w:sz w:val="18"/>
                <w:szCs w:val="18"/>
              </w:rPr>
              <w:t xml:space="preserve"> </w:t>
            </w:r>
          </w:p>
        </w:tc>
        <w:tc>
          <w:tcPr>
            <w:tcW w:w="1703" w:type="dxa"/>
            <w:tcBorders>
              <w:top w:val="nil"/>
              <w:left w:val="nil"/>
              <w:bottom w:val="nil"/>
              <w:right w:val="single" w:sz="4" w:space="0" w:color="auto"/>
            </w:tcBorders>
            <w:shd w:val="clear" w:color="auto" w:fill="auto"/>
            <w:vAlign w:val="bottom"/>
            <w:hideMark/>
          </w:tcPr>
          <w:p w14:paraId="474C965B" w14:textId="0A363D57" w:rsidR="001A25D2" w:rsidRPr="002B61AE" w:rsidRDefault="001A25D2" w:rsidP="001A25D2">
            <w:pPr>
              <w:jc w:val="right"/>
              <w:rPr>
                <w:rFonts w:ascii="Calibri" w:hAnsi="Calibri" w:cs="Calibri"/>
                <w:color w:val="000000"/>
                <w:sz w:val="18"/>
                <w:szCs w:val="18"/>
              </w:rPr>
            </w:pPr>
            <w:r w:rsidRPr="002B61AE">
              <w:rPr>
                <w:rFonts w:ascii="Calibri" w:hAnsi="Calibri" w:cs="Calibri"/>
                <w:color w:val="000000"/>
                <w:sz w:val="18"/>
                <w:szCs w:val="18"/>
              </w:rPr>
              <w:t xml:space="preserve">                </w:t>
            </w:r>
            <w:r w:rsidR="00C1568C">
              <w:rPr>
                <w:rFonts w:ascii="Calibri" w:hAnsi="Calibri" w:cs="Calibri"/>
                <w:color w:val="000000"/>
                <w:sz w:val="18"/>
                <w:szCs w:val="18"/>
              </w:rPr>
              <w:t>515,252</w:t>
            </w:r>
          </w:p>
        </w:tc>
      </w:tr>
      <w:tr w:rsidR="001A25D2" w:rsidRPr="002B61AE" w14:paraId="1BC4AF59" w14:textId="77777777" w:rsidTr="00C1568C">
        <w:trPr>
          <w:trHeight w:val="80"/>
          <w:jc w:val="center"/>
        </w:trPr>
        <w:tc>
          <w:tcPr>
            <w:tcW w:w="840" w:type="dxa"/>
            <w:tcBorders>
              <w:top w:val="nil"/>
              <w:left w:val="single" w:sz="4" w:space="0" w:color="auto"/>
              <w:bottom w:val="nil"/>
              <w:right w:val="single" w:sz="4" w:space="0" w:color="auto"/>
            </w:tcBorders>
            <w:shd w:val="clear" w:color="auto" w:fill="auto"/>
            <w:noWrap/>
            <w:vAlign w:val="bottom"/>
            <w:hideMark/>
          </w:tcPr>
          <w:p w14:paraId="5052CF88" w14:textId="77777777" w:rsidR="001A25D2" w:rsidRDefault="001A25D2" w:rsidP="001A25D2">
            <w:pPr>
              <w:jc w:val="center"/>
              <w:rPr>
                <w:rFonts w:ascii="Calibri" w:hAnsi="Calibri" w:cs="Calibri"/>
                <w:color w:val="000000"/>
                <w:sz w:val="18"/>
                <w:szCs w:val="18"/>
              </w:rPr>
            </w:pPr>
          </w:p>
          <w:p w14:paraId="13F068A1" w14:textId="77777777" w:rsidR="001A25D2" w:rsidRPr="002B61AE" w:rsidRDefault="001A25D2" w:rsidP="001A25D2">
            <w:pPr>
              <w:jc w:val="center"/>
              <w:rPr>
                <w:rFonts w:ascii="Calibri" w:hAnsi="Calibri" w:cs="Calibri"/>
                <w:color w:val="000000"/>
                <w:sz w:val="18"/>
                <w:szCs w:val="18"/>
              </w:rPr>
            </w:pPr>
            <w:r w:rsidRPr="002B61AE">
              <w:rPr>
                <w:rFonts w:ascii="Calibri" w:hAnsi="Calibri" w:cs="Calibri"/>
                <w:color w:val="000000"/>
                <w:sz w:val="18"/>
                <w:szCs w:val="18"/>
              </w:rPr>
              <w:t> </w:t>
            </w:r>
          </w:p>
        </w:tc>
        <w:tc>
          <w:tcPr>
            <w:tcW w:w="3590" w:type="dxa"/>
            <w:tcBorders>
              <w:top w:val="nil"/>
              <w:left w:val="nil"/>
              <w:bottom w:val="nil"/>
              <w:right w:val="nil"/>
            </w:tcBorders>
            <w:shd w:val="clear" w:color="auto" w:fill="auto"/>
            <w:noWrap/>
            <w:vAlign w:val="bottom"/>
            <w:hideMark/>
          </w:tcPr>
          <w:p w14:paraId="08EAA243" w14:textId="77777777" w:rsidR="001A25D2" w:rsidRPr="002B61AE" w:rsidRDefault="001A25D2" w:rsidP="001A25D2">
            <w:pPr>
              <w:rPr>
                <w:rFonts w:ascii="Calibri" w:hAnsi="Calibri" w:cs="Calibri"/>
                <w:b/>
                <w:bCs/>
                <w:color w:val="000000"/>
                <w:sz w:val="18"/>
                <w:szCs w:val="18"/>
              </w:rPr>
            </w:pPr>
            <w:r w:rsidRPr="002B61AE">
              <w:rPr>
                <w:rFonts w:ascii="Calibri" w:hAnsi="Calibri" w:cs="Calibri"/>
                <w:color w:val="000000"/>
                <w:sz w:val="18"/>
                <w:szCs w:val="18"/>
                <w:u w:val="single"/>
              </w:rPr>
              <w:t>95% Sharing Accounts</w:t>
            </w:r>
          </w:p>
        </w:tc>
        <w:tc>
          <w:tcPr>
            <w:tcW w:w="1814" w:type="dxa"/>
            <w:tcBorders>
              <w:top w:val="nil"/>
              <w:left w:val="nil"/>
              <w:bottom w:val="nil"/>
              <w:right w:val="nil"/>
            </w:tcBorders>
            <w:shd w:val="clear" w:color="auto" w:fill="auto"/>
            <w:vAlign w:val="bottom"/>
            <w:hideMark/>
          </w:tcPr>
          <w:p w14:paraId="2C5F998A" w14:textId="77777777" w:rsidR="001A25D2" w:rsidRPr="002B61AE" w:rsidRDefault="001A25D2" w:rsidP="001A25D2">
            <w:pPr>
              <w:rPr>
                <w:rFonts w:ascii="Calibri" w:hAnsi="Calibri" w:cs="Calibri"/>
                <w:b/>
                <w:bCs/>
                <w:color w:val="000000"/>
                <w:sz w:val="18"/>
                <w:szCs w:val="18"/>
              </w:rPr>
            </w:pPr>
          </w:p>
        </w:tc>
        <w:tc>
          <w:tcPr>
            <w:tcW w:w="1588" w:type="dxa"/>
            <w:tcBorders>
              <w:top w:val="nil"/>
              <w:left w:val="nil"/>
              <w:bottom w:val="nil"/>
              <w:right w:val="nil"/>
            </w:tcBorders>
            <w:shd w:val="clear" w:color="auto" w:fill="auto"/>
            <w:vAlign w:val="bottom"/>
            <w:hideMark/>
          </w:tcPr>
          <w:p w14:paraId="6A921B9F" w14:textId="77777777" w:rsidR="001A25D2" w:rsidRPr="002B61AE" w:rsidRDefault="001A25D2" w:rsidP="001A25D2">
            <w:pPr>
              <w:jc w:val="right"/>
              <w:rPr>
                <w:rFonts w:ascii="Times New Roman" w:hAnsi="Times New Roman"/>
                <w:sz w:val="20"/>
              </w:rPr>
            </w:pPr>
          </w:p>
        </w:tc>
        <w:tc>
          <w:tcPr>
            <w:tcW w:w="1703" w:type="dxa"/>
            <w:tcBorders>
              <w:top w:val="nil"/>
              <w:left w:val="nil"/>
              <w:bottom w:val="nil"/>
              <w:right w:val="single" w:sz="4" w:space="0" w:color="auto"/>
            </w:tcBorders>
            <w:shd w:val="clear" w:color="auto" w:fill="auto"/>
            <w:vAlign w:val="bottom"/>
            <w:hideMark/>
          </w:tcPr>
          <w:p w14:paraId="023A9076" w14:textId="77777777" w:rsidR="001A25D2" w:rsidRPr="002B61AE" w:rsidRDefault="001A25D2" w:rsidP="001A25D2">
            <w:pPr>
              <w:jc w:val="right"/>
              <w:rPr>
                <w:rFonts w:ascii="Calibri" w:hAnsi="Calibri" w:cs="Calibri"/>
                <w:b/>
                <w:bCs/>
                <w:color w:val="000000"/>
                <w:sz w:val="18"/>
                <w:szCs w:val="18"/>
              </w:rPr>
            </w:pPr>
            <w:r w:rsidRPr="002B61AE">
              <w:rPr>
                <w:rFonts w:ascii="Calibri" w:hAnsi="Calibri" w:cs="Calibri"/>
                <w:color w:val="000000"/>
                <w:sz w:val="18"/>
                <w:szCs w:val="18"/>
              </w:rPr>
              <w:t> </w:t>
            </w:r>
          </w:p>
        </w:tc>
      </w:tr>
      <w:tr w:rsidR="001A25D2" w:rsidRPr="002B61AE" w14:paraId="324C32F2" w14:textId="77777777" w:rsidTr="00C1568C">
        <w:trPr>
          <w:trHeight w:val="315"/>
          <w:jc w:val="center"/>
        </w:trPr>
        <w:tc>
          <w:tcPr>
            <w:tcW w:w="840" w:type="dxa"/>
            <w:tcBorders>
              <w:top w:val="nil"/>
              <w:left w:val="single" w:sz="4" w:space="0" w:color="auto"/>
              <w:bottom w:val="nil"/>
              <w:right w:val="single" w:sz="4" w:space="0" w:color="auto"/>
            </w:tcBorders>
            <w:shd w:val="clear" w:color="auto" w:fill="auto"/>
            <w:noWrap/>
            <w:vAlign w:val="bottom"/>
            <w:hideMark/>
          </w:tcPr>
          <w:p w14:paraId="6387B0D0" w14:textId="77777777" w:rsidR="001A25D2" w:rsidRPr="002B61AE" w:rsidRDefault="001A25D2" w:rsidP="001A25D2">
            <w:pPr>
              <w:jc w:val="center"/>
              <w:rPr>
                <w:rFonts w:ascii="Calibri" w:hAnsi="Calibri" w:cs="Calibri"/>
                <w:color w:val="000000"/>
                <w:sz w:val="18"/>
                <w:szCs w:val="18"/>
              </w:rPr>
            </w:pPr>
            <w:r w:rsidRPr="002B61AE">
              <w:rPr>
                <w:rFonts w:ascii="Calibri" w:hAnsi="Calibri" w:cs="Calibri"/>
                <w:color w:val="000000"/>
                <w:sz w:val="18"/>
                <w:szCs w:val="18"/>
              </w:rPr>
              <w:t>2</w:t>
            </w:r>
          </w:p>
        </w:tc>
        <w:tc>
          <w:tcPr>
            <w:tcW w:w="3590" w:type="dxa"/>
            <w:tcBorders>
              <w:top w:val="nil"/>
              <w:left w:val="nil"/>
              <w:bottom w:val="nil"/>
              <w:right w:val="nil"/>
            </w:tcBorders>
            <w:shd w:val="clear" w:color="auto" w:fill="auto"/>
            <w:noWrap/>
            <w:vAlign w:val="bottom"/>
            <w:hideMark/>
          </w:tcPr>
          <w:p w14:paraId="67971758" w14:textId="77777777" w:rsidR="001A25D2" w:rsidRPr="002B61AE" w:rsidRDefault="001A25D2" w:rsidP="001A25D2">
            <w:pPr>
              <w:rPr>
                <w:rFonts w:ascii="Calibri" w:hAnsi="Calibri" w:cs="Calibri"/>
                <w:color w:val="000000"/>
                <w:sz w:val="18"/>
                <w:szCs w:val="18"/>
                <w:u w:val="single"/>
              </w:rPr>
            </w:pPr>
            <w:r w:rsidRPr="002B61AE">
              <w:rPr>
                <w:rFonts w:ascii="Calibri" w:hAnsi="Calibri" w:cs="Calibri"/>
                <w:color w:val="000000"/>
                <w:sz w:val="18"/>
                <w:szCs w:val="18"/>
              </w:rPr>
              <w:t>Account 501, Coal</w:t>
            </w:r>
          </w:p>
        </w:tc>
        <w:tc>
          <w:tcPr>
            <w:tcW w:w="1814" w:type="dxa"/>
            <w:tcBorders>
              <w:top w:val="nil"/>
              <w:left w:val="nil"/>
              <w:bottom w:val="nil"/>
              <w:right w:val="nil"/>
            </w:tcBorders>
            <w:shd w:val="clear" w:color="auto" w:fill="auto"/>
            <w:vAlign w:val="bottom"/>
            <w:hideMark/>
          </w:tcPr>
          <w:p w14:paraId="2A676782" w14:textId="3478A253" w:rsidR="001A25D2" w:rsidRPr="002B61AE" w:rsidRDefault="001A25D2" w:rsidP="001A25D2">
            <w:pPr>
              <w:jc w:val="right"/>
              <w:rPr>
                <w:rFonts w:ascii="Calibri" w:hAnsi="Calibri" w:cs="Calibri"/>
                <w:color w:val="000000"/>
                <w:sz w:val="18"/>
                <w:szCs w:val="18"/>
                <w:u w:val="single"/>
              </w:rPr>
            </w:pPr>
            <w:r w:rsidRPr="002B61AE">
              <w:rPr>
                <w:rFonts w:ascii="Calibri" w:hAnsi="Calibri" w:cs="Calibri"/>
                <w:color w:val="000000"/>
                <w:sz w:val="18"/>
                <w:szCs w:val="18"/>
              </w:rPr>
              <w:t xml:space="preserve">              5,083,043 </w:t>
            </w:r>
          </w:p>
        </w:tc>
        <w:tc>
          <w:tcPr>
            <w:tcW w:w="1588" w:type="dxa"/>
            <w:tcBorders>
              <w:top w:val="nil"/>
              <w:left w:val="nil"/>
              <w:bottom w:val="nil"/>
              <w:right w:val="nil"/>
            </w:tcBorders>
            <w:shd w:val="clear" w:color="auto" w:fill="auto"/>
            <w:noWrap/>
            <w:vAlign w:val="bottom"/>
            <w:hideMark/>
          </w:tcPr>
          <w:p w14:paraId="5BFAA637" w14:textId="560446C0" w:rsidR="001A25D2" w:rsidRPr="002B61AE" w:rsidRDefault="001A25D2" w:rsidP="001A25D2">
            <w:pPr>
              <w:jc w:val="right"/>
              <w:rPr>
                <w:rFonts w:ascii="Times New Roman" w:hAnsi="Times New Roman"/>
                <w:sz w:val="20"/>
              </w:rPr>
            </w:pPr>
            <w:r w:rsidRPr="002B61AE">
              <w:rPr>
                <w:rFonts w:ascii="Calibri" w:hAnsi="Calibri" w:cs="Calibri"/>
                <w:color w:val="000000"/>
                <w:sz w:val="18"/>
                <w:szCs w:val="18"/>
              </w:rPr>
              <w:t xml:space="preserve">              </w:t>
            </w:r>
            <w:r>
              <w:rPr>
                <w:rFonts w:ascii="Calibri" w:hAnsi="Calibri" w:cs="Calibri"/>
                <w:color w:val="000000"/>
                <w:sz w:val="18"/>
                <w:szCs w:val="18"/>
              </w:rPr>
              <w:t>3,520,905</w:t>
            </w:r>
            <w:r w:rsidRPr="002B61AE">
              <w:rPr>
                <w:rFonts w:ascii="Calibri" w:hAnsi="Calibri" w:cs="Calibri"/>
                <w:color w:val="000000"/>
                <w:sz w:val="18"/>
                <w:szCs w:val="18"/>
              </w:rPr>
              <w:t xml:space="preserve"> </w:t>
            </w:r>
          </w:p>
        </w:tc>
        <w:tc>
          <w:tcPr>
            <w:tcW w:w="1703" w:type="dxa"/>
            <w:tcBorders>
              <w:top w:val="nil"/>
              <w:left w:val="nil"/>
              <w:bottom w:val="nil"/>
              <w:right w:val="single" w:sz="4" w:space="0" w:color="auto"/>
            </w:tcBorders>
            <w:shd w:val="clear" w:color="auto" w:fill="auto"/>
            <w:noWrap/>
            <w:vAlign w:val="bottom"/>
            <w:hideMark/>
          </w:tcPr>
          <w:p w14:paraId="39C76A77" w14:textId="5DE518A6" w:rsidR="001A25D2" w:rsidRPr="002B61AE" w:rsidRDefault="001A25D2" w:rsidP="001A25D2">
            <w:pPr>
              <w:jc w:val="right"/>
              <w:rPr>
                <w:rFonts w:ascii="Calibri" w:hAnsi="Calibri" w:cs="Calibri"/>
                <w:color w:val="000000"/>
                <w:sz w:val="18"/>
                <w:szCs w:val="18"/>
              </w:rPr>
            </w:pPr>
            <w:r w:rsidRPr="002B61AE">
              <w:rPr>
                <w:rFonts w:ascii="Calibri" w:hAnsi="Calibri" w:cs="Calibri"/>
                <w:color w:val="000000"/>
                <w:sz w:val="18"/>
                <w:szCs w:val="18"/>
              </w:rPr>
              <w:t xml:space="preserve">               </w:t>
            </w:r>
            <w:r w:rsidR="00C1568C">
              <w:rPr>
                <w:rFonts w:ascii="Calibri" w:hAnsi="Calibri" w:cs="Calibri"/>
                <w:color w:val="000000"/>
                <w:sz w:val="18"/>
                <w:szCs w:val="18"/>
              </w:rPr>
              <w:t>(1,562,138)</w:t>
            </w:r>
            <w:r w:rsidRPr="002B61AE">
              <w:rPr>
                <w:rFonts w:ascii="Calibri" w:hAnsi="Calibri" w:cs="Calibri"/>
                <w:color w:val="000000"/>
                <w:sz w:val="18"/>
                <w:szCs w:val="18"/>
              </w:rPr>
              <w:t xml:space="preserve"> </w:t>
            </w:r>
          </w:p>
        </w:tc>
      </w:tr>
      <w:tr w:rsidR="001A25D2" w:rsidRPr="002B61AE" w14:paraId="588336DD" w14:textId="77777777" w:rsidTr="00C1568C">
        <w:trPr>
          <w:trHeight w:val="135"/>
          <w:jc w:val="center"/>
        </w:trPr>
        <w:tc>
          <w:tcPr>
            <w:tcW w:w="840" w:type="dxa"/>
            <w:tcBorders>
              <w:top w:val="nil"/>
              <w:left w:val="single" w:sz="4" w:space="0" w:color="auto"/>
              <w:bottom w:val="nil"/>
              <w:right w:val="single" w:sz="4" w:space="0" w:color="auto"/>
            </w:tcBorders>
            <w:shd w:val="clear" w:color="auto" w:fill="auto"/>
            <w:noWrap/>
            <w:vAlign w:val="bottom"/>
            <w:hideMark/>
          </w:tcPr>
          <w:p w14:paraId="304B2DFB" w14:textId="77777777" w:rsidR="001A25D2" w:rsidRPr="002B61AE" w:rsidRDefault="001A25D2" w:rsidP="001A25D2">
            <w:pPr>
              <w:jc w:val="center"/>
              <w:rPr>
                <w:rFonts w:ascii="Calibri" w:hAnsi="Calibri" w:cs="Calibri"/>
                <w:color w:val="000000"/>
                <w:sz w:val="18"/>
                <w:szCs w:val="18"/>
              </w:rPr>
            </w:pPr>
            <w:r w:rsidRPr="002B61AE">
              <w:rPr>
                <w:rFonts w:ascii="Calibri" w:hAnsi="Calibri" w:cs="Calibri"/>
                <w:color w:val="000000"/>
                <w:sz w:val="18"/>
                <w:szCs w:val="18"/>
              </w:rPr>
              <w:t>3</w:t>
            </w:r>
          </w:p>
        </w:tc>
        <w:tc>
          <w:tcPr>
            <w:tcW w:w="3590" w:type="dxa"/>
            <w:tcBorders>
              <w:top w:val="nil"/>
              <w:left w:val="nil"/>
              <w:bottom w:val="nil"/>
              <w:right w:val="nil"/>
            </w:tcBorders>
            <w:shd w:val="clear" w:color="auto" w:fill="auto"/>
            <w:noWrap/>
            <w:vAlign w:val="bottom"/>
            <w:hideMark/>
          </w:tcPr>
          <w:p w14:paraId="4F2FB546" w14:textId="77777777" w:rsidR="001A25D2" w:rsidRPr="002B61AE" w:rsidRDefault="001A25D2" w:rsidP="001A25D2">
            <w:pPr>
              <w:rPr>
                <w:rFonts w:ascii="Calibri" w:hAnsi="Calibri" w:cs="Calibri"/>
                <w:color w:val="000000"/>
                <w:sz w:val="18"/>
                <w:szCs w:val="18"/>
              </w:rPr>
            </w:pPr>
            <w:r w:rsidRPr="002B61AE">
              <w:rPr>
                <w:rFonts w:ascii="Calibri" w:hAnsi="Calibri" w:cs="Calibri"/>
                <w:color w:val="000000"/>
                <w:sz w:val="18"/>
                <w:szCs w:val="18"/>
              </w:rPr>
              <w:t>Account 547, Other Fuel</w:t>
            </w:r>
          </w:p>
        </w:tc>
        <w:tc>
          <w:tcPr>
            <w:tcW w:w="1814" w:type="dxa"/>
            <w:tcBorders>
              <w:top w:val="nil"/>
              <w:left w:val="nil"/>
              <w:bottom w:val="nil"/>
              <w:right w:val="nil"/>
            </w:tcBorders>
            <w:shd w:val="clear" w:color="auto" w:fill="auto"/>
            <w:vAlign w:val="bottom"/>
            <w:hideMark/>
          </w:tcPr>
          <w:p w14:paraId="744A1605" w14:textId="52113565" w:rsidR="001A25D2" w:rsidRPr="002B61AE" w:rsidRDefault="001A25D2" w:rsidP="001A25D2">
            <w:pPr>
              <w:jc w:val="right"/>
              <w:rPr>
                <w:rFonts w:ascii="Calibri" w:hAnsi="Calibri" w:cs="Calibri"/>
                <w:color w:val="000000"/>
                <w:sz w:val="18"/>
                <w:szCs w:val="18"/>
              </w:rPr>
            </w:pPr>
            <w:r w:rsidRPr="002B61AE">
              <w:rPr>
                <w:rFonts w:ascii="Calibri" w:hAnsi="Calibri" w:cs="Calibri"/>
                <w:color w:val="000000"/>
                <w:sz w:val="18"/>
                <w:szCs w:val="18"/>
              </w:rPr>
              <w:t xml:space="preserve">              2,556,322 </w:t>
            </w:r>
          </w:p>
        </w:tc>
        <w:tc>
          <w:tcPr>
            <w:tcW w:w="1588" w:type="dxa"/>
            <w:tcBorders>
              <w:top w:val="nil"/>
              <w:left w:val="nil"/>
              <w:bottom w:val="nil"/>
              <w:right w:val="nil"/>
            </w:tcBorders>
            <w:shd w:val="clear" w:color="auto" w:fill="auto"/>
            <w:noWrap/>
            <w:vAlign w:val="bottom"/>
            <w:hideMark/>
          </w:tcPr>
          <w:p w14:paraId="593BA49E" w14:textId="5FC118A5" w:rsidR="001A25D2" w:rsidRPr="002B61AE" w:rsidRDefault="001A25D2" w:rsidP="001A25D2">
            <w:pPr>
              <w:jc w:val="right"/>
              <w:rPr>
                <w:rFonts w:ascii="Calibri" w:hAnsi="Calibri" w:cs="Calibri"/>
                <w:color w:val="000000"/>
                <w:sz w:val="18"/>
                <w:szCs w:val="18"/>
              </w:rPr>
            </w:pPr>
            <w:r w:rsidRPr="002B61AE">
              <w:rPr>
                <w:rFonts w:ascii="Calibri" w:hAnsi="Calibri" w:cs="Calibri"/>
                <w:color w:val="000000"/>
                <w:sz w:val="18"/>
                <w:szCs w:val="18"/>
              </w:rPr>
              <w:t xml:space="preserve">              </w:t>
            </w:r>
            <w:r>
              <w:rPr>
                <w:rFonts w:ascii="Calibri" w:hAnsi="Calibri" w:cs="Calibri"/>
                <w:color w:val="000000"/>
                <w:sz w:val="18"/>
                <w:szCs w:val="18"/>
              </w:rPr>
              <w:t>3,261,784</w:t>
            </w:r>
            <w:r w:rsidRPr="002B61AE">
              <w:rPr>
                <w:rFonts w:ascii="Calibri" w:hAnsi="Calibri" w:cs="Calibri"/>
                <w:color w:val="000000"/>
                <w:sz w:val="18"/>
                <w:szCs w:val="18"/>
              </w:rPr>
              <w:t xml:space="preserve"> </w:t>
            </w:r>
          </w:p>
        </w:tc>
        <w:tc>
          <w:tcPr>
            <w:tcW w:w="1703" w:type="dxa"/>
            <w:tcBorders>
              <w:top w:val="nil"/>
              <w:left w:val="nil"/>
              <w:bottom w:val="nil"/>
              <w:right w:val="single" w:sz="4" w:space="0" w:color="auto"/>
            </w:tcBorders>
            <w:shd w:val="clear" w:color="auto" w:fill="auto"/>
            <w:noWrap/>
            <w:vAlign w:val="bottom"/>
            <w:hideMark/>
          </w:tcPr>
          <w:p w14:paraId="60272354" w14:textId="246BD877" w:rsidR="001A25D2" w:rsidRPr="002B61AE" w:rsidRDefault="001A25D2" w:rsidP="001A25D2">
            <w:pPr>
              <w:jc w:val="right"/>
              <w:rPr>
                <w:rFonts w:ascii="Calibri" w:hAnsi="Calibri" w:cs="Calibri"/>
                <w:color w:val="000000"/>
                <w:sz w:val="18"/>
                <w:szCs w:val="18"/>
              </w:rPr>
            </w:pPr>
            <w:r w:rsidRPr="002B61AE">
              <w:rPr>
                <w:rFonts w:ascii="Calibri" w:hAnsi="Calibri" w:cs="Calibri"/>
                <w:color w:val="000000"/>
                <w:sz w:val="18"/>
                <w:szCs w:val="18"/>
              </w:rPr>
              <w:t xml:space="preserve">                  </w:t>
            </w:r>
            <w:r w:rsidR="00C1568C">
              <w:rPr>
                <w:rFonts w:ascii="Calibri" w:hAnsi="Calibri" w:cs="Calibri"/>
                <w:color w:val="000000"/>
                <w:sz w:val="18"/>
                <w:szCs w:val="18"/>
              </w:rPr>
              <w:t>705,462</w:t>
            </w:r>
            <w:r w:rsidRPr="002B61AE">
              <w:rPr>
                <w:rFonts w:ascii="Calibri" w:hAnsi="Calibri" w:cs="Calibri"/>
                <w:color w:val="000000"/>
                <w:sz w:val="18"/>
                <w:szCs w:val="18"/>
              </w:rPr>
              <w:t xml:space="preserve"> </w:t>
            </w:r>
          </w:p>
        </w:tc>
      </w:tr>
      <w:tr w:rsidR="001A25D2" w:rsidRPr="002B61AE" w14:paraId="4AF099FF" w14:textId="77777777" w:rsidTr="00C1568C">
        <w:trPr>
          <w:trHeight w:val="153"/>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3CDCA4F6" w14:textId="77777777" w:rsidR="001A25D2" w:rsidRPr="002B61AE" w:rsidRDefault="001A25D2" w:rsidP="001A25D2">
            <w:pPr>
              <w:jc w:val="center"/>
              <w:rPr>
                <w:rFonts w:ascii="Calibri" w:hAnsi="Calibri" w:cs="Calibri"/>
                <w:color w:val="000000"/>
                <w:sz w:val="18"/>
                <w:szCs w:val="18"/>
              </w:rPr>
            </w:pPr>
            <w:r w:rsidRPr="002B61AE">
              <w:rPr>
                <w:rFonts w:ascii="Calibri" w:hAnsi="Calibri" w:cs="Calibri"/>
                <w:color w:val="000000"/>
                <w:sz w:val="18"/>
                <w:szCs w:val="18"/>
              </w:rPr>
              <w:t>4</w:t>
            </w:r>
          </w:p>
        </w:tc>
        <w:tc>
          <w:tcPr>
            <w:tcW w:w="3590" w:type="dxa"/>
            <w:tcBorders>
              <w:top w:val="nil"/>
              <w:left w:val="nil"/>
              <w:bottom w:val="single" w:sz="4" w:space="0" w:color="auto"/>
              <w:right w:val="nil"/>
            </w:tcBorders>
            <w:shd w:val="clear" w:color="auto" w:fill="auto"/>
            <w:noWrap/>
            <w:vAlign w:val="bottom"/>
            <w:hideMark/>
          </w:tcPr>
          <w:p w14:paraId="77B141B0" w14:textId="77777777" w:rsidR="001A25D2" w:rsidRPr="002B61AE" w:rsidRDefault="001A25D2" w:rsidP="001A25D2">
            <w:pPr>
              <w:rPr>
                <w:rFonts w:ascii="Calibri" w:hAnsi="Calibri" w:cs="Calibri"/>
                <w:color w:val="000000"/>
                <w:sz w:val="18"/>
                <w:szCs w:val="18"/>
              </w:rPr>
            </w:pPr>
            <w:r w:rsidRPr="002B61AE">
              <w:rPr>
                <w:rFonts w:ascii="Calibri" w:hAnsi="Calibri" w:cs="Calibri"/>
                <w:color w:val="000000"/>
                <w:sz w:val="18"/>
                <w:szCs w:val="18"/>
              </w:rPr>
              <w:t>Account 555, Purchased Power Non-PURPA</w:t>
            </w:r>
          </w:p>
        </w:tc>
        <w:tc>
          <w:tcPr>
            <w:tcW w:w="1814" w:type="dxa"/>
            <w:tcBorders>
              <w:top w:val="nil"/>
              <w:left w:val="nil"/>
              <w:bottom w:val="single" w:sz="4" w:space="0" w:color="auto"/>
              <w:right w:val="nil"/>
            </w:tcBorders>
            <w:shd w:val="clear" w:color="auto" w:fill="auto"/>
            <w:vAlign w:val="bottom"/>
            <w:hideMark/>
          </w:tcPr>
          <w:p w14:paraId="6631F259" w14:textId="4DE972F4" w:rsidR="001A25D2" w:rsidRPr="002B61AE" w:rsidRDefault="001A25D2" w:rsidP="001A25D2">
            <w:pPr>
              <w:jc w:val="right"/>
              <w:rPr>
                <w:rFonts w:ascii="Calibri" w:hAnsi="Calibri" w:cs="Calibri"/>
                <w:color w:val="000000"/>
                <w:sz w:val="18"/>
                <w:szCs w:val="18"/>
              </w:rPr>
            </w:pPr>
            <w:r w:rsidRPr="002B61AE">
              <w:rPr>
                <w:rFonts w:ascii="Calibri" w:hAnsi="Calibri" w:cs="Calibri"/>
                <w:color w:val="000000"/>
                <w:sz w:val="18"/>
                <w:szCs w:val="18"/>
              </w:rPr>
              <w:t xml:space="preserve">              1,580,326 </w:t>
            </w:r>
          </w:p>
        </w:tc>
        <w:tc>
          <w:tcPr>
            <w:tcW w:w="1588" w:type="dxa"/>
            <w:tcBorders>
              <w:top w:val="nil"/>
              <w:left w:val="nil"/>
              <w:bottom w:val="single" w:sz="4" w:space="0" w:color="auto"/>
              <w:right w:val="nil"/>
            </w:tcBorders>
            <w:shd w:val="clear" w:color="auto" w:fill="auto"/>
            <w:noWrap/>
            <w:vAlign w:val="bottom"/>
            <w:hideMark/>
          </w:tcPr>
          <w:p w14:paraId="252B3273" w14:textId="7277A2DF" w:rsidR="001A25D2" w:rsidRPr="002B61AE" w:rsidRDefault="001A25D2" w:rsidP="001A25D2">
            <w:pPr>
              <w:jc w:val="right"/>
              <w:rPr>
                <w:rFonts w:ascii="Calibri" w:hAnsi="Calibri" w:cs="Calibri"/>
                <w:color w:val="000000"/>
                <w:sz w:val="18"/>
                <w:szCs w:val="18"/>
              </w:rPr>
            </w:pPr>
            <w:r w:rsidRPr="002B61AE">
              <w:rPr>
                <w:rFonts w:ascii="Calibri" w:hAnsi="Calibri" w:cs="Calibri"/>
                <w:color w:val="000000"/>
                <w:sz w:val="18"/>
                <w:szCs w:val="18"/>
              </w:rPr>
              <w:t xml:space="preserve">              </w:t>
            </w:r>
            <w:r>
              <w:rPr>
                <w:rFonts w:ascii="Calibri" w:hAnsi="Calibri" w:cs="Calibri"/>
                <w:color w:val="000000"/>
                <w:sz w:val="18"/>
                <w:szCs w:val="18"/>
              </w:rPr>
              <w:t>1,695,683</w:t>
            </w:r>
            <w:r w:rsidRPr="002B61AE">
              <w:rPr>
                <w:rFonts w:ascii="Calibri" w:hAnsi="Calibri" w:cs="Calibri"/>
                <w:color w:val="000000"/>
                <w:sz w:val="18"/>
                <w:szCs w:val="18"/>
              </w:rPr>
              <w:t xml:space="preserve"> </w:t>
            </w:r>
          </w:p>
        </w:tc>
        <w:tc>
          <w:tcPr>
            <w:tcW w:w="1703" w:type="dxa"/>
            <w:tcBorders>
              <w:top w:val="nil"/>
              <w:left w:val="nil"/>
              <w:bottom w:val="single" w:sz="4" w:space="0" w:color="auto"/>
              <w:right w:val="single" w:sz="4" w:space="0" w:color="auto"/>
            </w:tcBorders>
            <w:shd w:val="clear" w:color="auto" w:fill="auto"/>
            <w:noWrap/>
            <w:vAlign w:val="bottom"/>
            <w:hideMark/>
          </w:tcPr>
          <w:p w14:paraId="053B31C2" w14:textId="24D6BA7E" w:rsidR="001A25D2" w:rsidRPr="002B61AE" w:rsidRDefault="001A25D2" w:rsidP="001A25D2">
            <w:pPr>
              <w:jc w:val="right"/>
              <w:rPr>
                <w:rFonts w:ascii="Calibri" w:hAnsi="Calibri" w:cs="Calibri"/>
                <w:color w:val="000000"/>
                <w:sz w:val="18"/>
                <w:szCs w:val="18"/>
              </w:rPr>
            </w:pPr>
            <w:r w:rsidRPr="002B61AE">
              <w:rPr>
                <w:rFonts w:ascii="Calibri" w:hAnsi="Calibri" w:cs="Calibri"/>
                <w:color w:val="000000"/>
                <w:sz w:val="18"/>
                <w:szCs w:val="18"/>
              </w:rPr>
              <w:t xml:space="preserve">                  </w:t>
            </w:r>
            <w:r w:rsidR="00C1568C">
              <w:rPr>
                <w:rFonts w:ascii="Calibri" w:hAnsi="Calibri" w:cs="Calibri"/>
                <w:color w:val="000000"/>
                <w:sz w:val="18"/>
                <w:szCs w:val="18"/>
              </w:rPr>
              <w:t>115,357</w:t>
            </w:r>
            <w:r w:rsidRPr="002B61AE">
              <w:rPr>
                <w:rFonts w:ascii="Calibri" w:hAnsi="Calibri" w:cs="Calibri"/>
                <w:color w:val="000000"/>
                <w:sz w:val="18"/>
                <w:szCs w:val="18"/>
              </w:rPr>
              <w:t xml:space="preserve"> </w:t>
            </w:r>
          </w:p>
        </w:tc>
      </w:tr>
      <w:tr w:rsidR="001A25D2" w:rsidRPr="002B61AE" w14:paraId="6F1A3097" w14:textId="77777777" w:rsidTr="00C1568C">
        <w:trPr>
          <w:trHeight w:val="278"/>
          <w:jc w:val="center"/>
        </w:trPr>
        <w:tc>
          <w:tcPr>
            <w:tcW w:w="840" w:type="dxa"/>
            <w:tcBorders>
              <w:top w:val="nil"/>
              <w:left w:val="single" w:sz="4" w:space="0" w:color="auto"/>
              <w:bottom w:val="nil"/>
              <w:right w:val="single" w:sz="4" w:space="0" w:color="auto"/>
            </w:tcBorders>
            <w:shd w:val="clear" w:color="auto" w:fill="auto"/>
            <w:noWrap/>
            <w:vAlign w:val="bottom"/>
            <w:hideMark/>
          </w:tcPr>
          <w:p w14:paraId="0B50A029" w14:textId="77777777" w:rsidR="001A25D2" w:rsidRPr="002B61AE" w:rsidRDefault="001A25D2" w:rsidP="001A25D2">
            <w:pPr>
              <w:jc w:val="center"/>
              <w:rPr>
                <w:rFonts w:ascii="Calibri" w:hAnsi="Calibri" w:cs="Calibri"/>
                <w:color w:val="000000"/>
                <w:sz w:val="18"/>
                <w:szCs w:val="18"/>
              </w:rPr>
            </w:pPr>
            <w:r w:rsidRPr="002B61AE">
              <w:rPr>
                <w:rFonts w:ascii="Calibri" w:hAnsi="Calibri" w:cs="Calibri"/>
                <w:color w:val="000000"/>
                <w:sz w:val="18"/>
                <w:szCs w:val="18"/>
              </w:rPr>
              <w:t> </w:t>
            </w:r>
          </w:p>
        </w:tc>
        <w:tc>
          <w:tcPr>
            <w:tcW w:w="3590" w:type="dxa"/>
            <w:tcBorders>
              <w:top w:val="nil"/>
              <w:left w:val="nil"/>
              <w:bottom w:val="nil"/>
              <w:right w:val="nil"/>
            </w:tcBorders>
            <w:shd w:val="clear" w:color="auto" w:fill="auto"/>
            <w:noWrap/>
            <w:vAlign w:val="bottom"/>
            <w:hideMark/>
          </w:tcPr>
          <w:p w14:paraId="2F1CF42D" w14:textId="77777777" w:rsidR="001A25D2" w:rsidRPr="002B61AE" w:rsidRDefault="001A25D2" w:rsidP="001A25D2">
            <w:pPr>
              <w:rPr>
                <w:rFonts w:ascii="Calibri" w:hAnsi="Calibri" w:cs="Calibri"/>
                <w:color w:val="000000"/>
                <w:sz w:val="18"/>
                <w:szCs w:val="18"/>
              </w:rPr>
            </w:pPr>
            <w:r w:rsidRPr="002B61AE">
              <w:rPr>
                <w:rFonts w:ascii="Calibri" w:hAnsi="Calibri" w:cs="Calibri"/>
                <w:color w:val="000000"/>
                <w:sz w:val="18"/>
                <w:szCs w:val="18"/>
              </w:rPr>
              <w:t>95% Sharing Accounts</w:t>
            </w:r>
          </w:p>
        </w:tc>
        <w:tc>
          <w:tcPr>
            <w:tcW w:w="1814" w:type="dxa"/>
            <w:tcBorders>
              <w:top w:val="nil"/>
              <w:left w:val="nil"/>
              <w:bottom w:val="nil"/>
              <w:right w:val="nil"/>
            </w:tcBorders>
            <w:shd w:val="clear" w:color="auto" w:fill="auto"/>
            <w:vAlign w:val="bottom"/>
            <w:hideMark/>
          </w:tcPr>
          <w:p w14:paraId="04D02D6E" w14:textId="64464FBC" w:rsidR="001A25D2" w:rsidRPr="002B61AE" w:rsidRDefault="001A25D2" w:rsidP="001A25D2">
            <w:pPr>
              <w:jc w:val="right"/>
              <w:rPr>
                <w:rFonts w:ascii="Calibri" w:hAnsi="Calibri" w:cs="Calibri"/>
                <w:color w:val="000000"/>
                <w:sz w:val="18"/>
                <w:szCs w:val="18"/>
              </w:rPr>
            </w:pPr>
            <w:r w:rsidRPr="002B61AE">
              <w:rPr>
                <w:rFonts w:ascii="Calibri" w:hAnsi="Calibri" w:cs="Calibri"/>
                <w:color w:val="000000"/>
                <w:sz w:val="18"/>
                <w:szCs w:val="18"/>
              </w:rPr>
              <w:t xml:space="preserve">            15,192,435 </w:t>
            </w:r>
          </w:p>
        </w:tc>
        <w:tc>
          <w:tcPr>
            <w:tcW w:w="1588" w:type="dxa"/>
            <w:tcBorders>
              <w:top w:val="nil"/>
              <w:left w:val="nil"/>
              <w:bottom w:val="nil"/>
              <w:right w:val="nil"/>
            </w:tcBorders>
            <w:shd w:val="clear" w:color="auto" w:fill="auto"/>
            <w:noWrap/>
            <w:vAlign w:val="bottom"/>
            <w:hideMark/>
          </w:tcPr>
          <w:p w14:paraId="416B8896" w14:textId="1490EE9C" w:rsidR="001A25D2" w:rsidRPr="002B61AE" w:rsidRDefault="001A25D2" w:rsidP="001A25D2">
            <w:pPr>
              <w:jc w:val="right"/>
              <w:rPr>
                <w:rFonts w:ascii="Calibri" w:hAnsi="Calibri" w:cs="Calibri"/>
                <w:color w:val="000000"/>
                <w:sz w:val="18"/>
                <w:szCs w:val="18"/>
              </w:rPr>
            </w:pPr>
            <w:r w:rsidRPr="002B61AE">
              <w:rPr>
                <w:rFonts w:ascii="Calibri" w:hAnsi="Calibri" w:cs="Calibri"/>
                <w:color w:val="000000"/>
                <w:sz w:val="18"/>
                <w:szCs w:val="18"/>
              </w:rPr>
              <w:t xml:space="preserve">            </w:t>
            </w:r>
            <w:r>
              <w:rPr>
                <w:rFonts w:ascii="Calibri" w:hAnsi="Calibri" w:cs="Calibri"/>
                <w:color w:val="000000"/>
                <w:sz w:val="18"/>
                <w:szCs w:val="18"/>
              </w:rPr>
              <w:t>14,966,367</w:t>
            </w:r>
            <w:r w:rsidRPr="002B61AE">
              <w:rPr>
                <w:rFonts w:ascii="Calibri" w:hAnsi="Calibri" w:cs="Calibri"/>
                <w:color w:val="000000"/>
                <w:sz w:val="18"/>
                <w:szCs w:val="18"/>
              </w:rPr>
              <w:t xml:space="preserve"> </w:t>
            </w:r>
          </w:p>
        </w:tc>
        <w:tc>
          <w:tcPr>
            <w:tcW w:w="1703" w:type="dxa"/>
            <w:tcBorders>
              <w:top w:val="nil"/>
              <w:left w:val="nil"/>
              <w:bottom w:val="nil"/>
              <w:right w:val="single" w:sz="4" w:space="0" w:color="auto"/>
            </w:tcBorders>
            <w:shd w:val="clear" w:color="auto" w:fill="auto"/>
            <w:noWrap/>
            <w:vAlign w:val="bottom"/>
            <w:hideMark/>
          </w:tcPr>
          <w:p w14:paraId="5563C21A" w14:textId="4491A9E0" w:rsidR="001A25D2" w:rsidRPr="002B61AE" w:rsidRDefault="001A25D2" w:rsidP="001A25D2">
            <w:pPr>
              <w:jc w:val="right"/>
              <w:rPr>
                <w:rFonts w:ascii="Calibri" w:hAnsi="Calibri" w:cs="Calibri"/>
                <w:color w:val="000000"/>
                <w:sz w:val="18"/>
                <w:szCs w:val="18"/>
              </w:rPr>
            </w:pPr>
            <w:r w:rsidRPr="002B61AE">
              <w:rPr>
                <w:rFonts w:ascii="Calibri" w:hAnsi="Calibri" w:cs="Calibri"/>
                <w:color w:val="000000"/>
                <w:sz w:val="18"/>
                <w:szCs w:val="18"/>
              </w:rPr>
              <w:t xml:space="preserve">               </w:t>
            </w:r>
            <w:r w:rsidR="00C1568C">
              <w:rPr>
                <w:rFonts w:ascii="Calibri" w:hAnsi="Calibri" w:cs="Calibri"/>
                <w:color w:val="000000"/>
                <w:sz w:val="18"/>
                <w:szCs w:val="18"/>
              </w:rPr>
              <w:t>(226,068)</w:t>
            </w:r>
            <w:r w:rsidRPr="002B61AE">
              <w:rPr>
                <w:rFonts w:ascii="Calibri" w:hAnsi="Calibri" w:cs="Calibri"/>
                <w:color w:val="000000"/>
                <w:sz w:val="18"/>
                <w:szCs w:val="18"/>
              </w:rPr>
              <w:t xml:space="preserve"> </w:t>
            </w:r>
          </w:p>
        </w:tc>
      </w:tr>
      <w:tr w:rsidR="001A25D2" w:rsidRPr="002B61AE" w14:paraId="0AB58D33" w14:textId="77777777" w:rsidTr="00C1568C">
        <w:trPr>
          <w:trHeight w:val="300"/>
          <w:jc w:val="center"/>
        </w:trPr>
        <w:tc>
          <w:tcPr>
            <w:tcW w:w="840" w:type="dxa"/>
            <w:tcBorders>
              <w:top w:val="nil"/>
              <w:left w:val="single" w:sz="4" w:space="0" w:color="auto"/>
              <w:bottom w:val="nil"/>
              <w:right w:val="single" w:sz="4" w:space="0" w:color="auto"/>
            </w:tcBorders>
            <w:shd w:val="clear" w:color="auto" w:fill="auto"/>
            <w:noWrap/>
            <w:vAlign w:val="bottom"/>
            <w:hideMark/>
          </w:tcPr>
          <w:p w14:paraId="5AC70631" w14:textId="77777777" w:rsidR="001A25D2" w:rsidRPr="002B61AE" w:rsidRDefault="001A25D2" w:rsidP="001A25D2">
            <w:pPr>
              <w:jc w:val="center"/>
              <w:rPr>
                <w:rFonts w:ascii="Calibri" w:hAnsi="Calibri" w:cs="Calibri"/>
                <w:color w:val="000000"/>
                <w:sz w:val="18"/>
                <w:szCs w:val="18"/>
              </w:rPr>
            </w:pPr>
            <w:r w:rsidRPr="002B61AE">
              <w:rPr>
                <w:rFonts w:ascii="Calibri" w:hAnsi="Calibri" w:cs="Calibri"/>
                <w:color w:val="000000"/>
                <w:sz w:val="18"/>
                <w:szCs w:val="18"/>
              </w:rPr>
              <w:t> </w:t>
            </w:r>
          </w:p>
        </w:tc>
        <w:tc>
          <w:tcPr>
            <w:tcW w:w="3590" w:type="dxa"/>
            <w:tcBorders>
              <w:top w:val="nil"/>
              <w:left w:val="nil"/>
              <w:bottom w:val="nil"/>
              <w:right w:val="nil"/>
            </w:tcBorders>
            <w:shd w:val="clear" w:color="auto" w:fill="auto"/>
            <w:noWrap/>
            <w:vAlign w:val="bottom"/>
            <w:hideMark/>
          </w:tcPr>
          <w:p w14:paraId="20457107" w14:textId="77777777" w:rsidR="001A25D2" w:rsidRPr="002B61AE" w:rsidRDefault="001A25D2" w:rsidP="001A25D2">
            <w:pPr>
              <w:rPr>
                <w:rFonts w:ascii="Calibri" w:hAnsi="Calibri" w:cs="Calibri"/>
                <w:color w:val="000000"/>
                <w:sz w:val="18"/>
                <w:szCs w:val="18"/>
              </w:rPr>
            </w:pPr>
            <w:r w:rsidRPr="002B61AE">
              <w:rPr>
                <w:rFonts w:ascii="Calibri" w:hAnsi="Calibri" w:cs="Calibri"/>
                <w:color w:val="000000"/>
                <w:sz w:val="18"/>
                <w:szCs w:val="18"/>
              </w:rPr>
              <w:t> </w:t>
            </w:r>
          </w:p>
        </w:tc>
        <w:tc>
          <w:tcPr>
            <w:tcW w:w="1814" w:type="dxa"/>
            <w:tcBorders>
              <w:top w:val="nil"/>
              <w:left w:val="nil"/>
              <w:bottom w:val="nil"/>
              <w:right w:val="nil"/>
            </w:tcBorders>
            <w:shd w:val="clear" w:color="auto" w:fill="auto"/>
            <w:noWrap/>
            <w:vAlign w:val="bottom"/>
            <w:hideMark/>
          </w:tcPr>
          <w:p w14:paraId="230DCA40" w14:textId="77777777" w:rsidR="001A25D2" w:rsidRPr="002B61AE" w:rsidRDefault="001A25D2" w:rsidP="001A25D2">
            <w:pPr>
              <w:jc w:val="right"/>
              <w:rPr>
                <w:rFonts w:ascii="Calibri" w:hAnsi="Calibri" w:cs="Calibri"/>
                <w:color w:val="000000"/>
                <w:sz w:val="18"/>
                <w:szCs w:val="18"/>
              </w:rPr>
            </w:pPr>
          </w:p>
        </w:tc>
        <w:tc>
          <w:tcPr>
            <w:tcW w:w="1588" w:type="dxa"/>
            <w:tcBorders>
              <w:top w:val="nil"/>
              <w:left w:val="nil"/>
              <w:bottom w:val="nil"/>
              <w:right w:val="nil"/>
            </w:tcBorders>
            <w:shd w:val="clear" w:color="auto" w:fill="auto"/>
            <w:noWrap/>
            <w:vAlign w:val="bottom"/>
            <w:hideMark/>
          </w:tcPr>
          <w:p w14:paraId="6314AF46" w14:textId="77777777" w:rsidR="001A25D2" w:rsidRPr="002B61AE" w:rsidRDefault="001A25D2" w:rsidP="001A25D2">
            <w:pPr>
              <w:jc w:val="right"/>
              <w:rPr>
                <w:rFonts w:ascii="Calibri" w:hAnsi="Calibri" w:cs="Calibri"/>
                <w:color w:val="000000"/>
                <w:sz w:val="18"/>
                <w:szCs w:val="18"/>
              </w:rPr>
            </w:pPr>
          </w:p>
        </w:tc>
        <w:tc>
          <w:tcPr>
            <w:tcW w:w="1703" w:type="dxa"/>
            <w:tcBorders>
              <w:top w:val="nil"/>
              <w:left w:val="nil"/>
              <w:bottom w:val="nil"/>
              <w:right w:val="single" w:sz="4" w:space="0" w:color="auto"/>
            </w:tcBorders>
            <w:shd w:val="clear" w:color="auto" w:fill="auto"/>
            <w:noWrap/>
            <w:vAlign w:val="bottom"/>
            <w:hideMark/>
          </w:tcPr>
          <w:p w14:paraId="2B94E8D9" w14:textId="77777777" w:rsidR="001A25D2" w:rsidRPr="002B61AE" w:rsidRDefault="001A25D2" w:rsidP="001A25D2">
            <w:pPr>
              <w:jc w:val="right"/>
              <w:rPr>
                <w:rFonts w:ascii="Calibri" w:hAnsi="Calibri" w:cs="Calibri"/>
                <w:color w:val="000000"/>
                <w:sz w:val="18"/>
                <w:szCs w:val="18"/>
              </w:rPr>
            </w:pPr>
            <w:r w:rsidRPr="002B61AE">
              <w:rPr>
                <w:rFonts w:ascii="Calibri" w:hAnsi="Calibri" w:cs="Calibri"/>
                <w:color w:val="000000"/>
                <w:sz w:val="18"/>
                <w:szCs w:val="18"/>
              </w:rPr>
              <w:t> </w:t>
            </w:r>
          </w:p>
        </w:tc>
      </w:tr>
      <w:tr w:rsidR="001A25D2" w:rsidRPr="002B61AE" w14:paraId="02152ACF" w14:textId="77777777" w:rsidTr="00C1568C">
        <w:trPr>
          <w:trHeight w:val="80"/>
          <w:jc w:val="center"/>
        </w:trPr>
        <w:tc>
          <w:tcPr>
            <w:tcW w:w="840" w:type="dxa"/>
            <w:tcBorders>
              <w:top w:val="nil"/>
              <w:left w:val="single" w:sz="4" w:space="0" w:color="auto"/>
              <w:bottom w:val="nil"/>
              <w:right w:val="single" w:sz="4" w:space="0" w:color="auto"/>
            </w:tcBorders>
            <w:shd w:val="clear" w:color="auto" w:fill="auto"/>
            <w:noWrap/>
            <w:vAlign w:val="bottom"/>
            <w:hideMark/>
          </w:tcPr>
          <w:p w14:paraId="71F69220" w14:textId="77777777" w:rsidR="001A25D2" w:rsidRPr="002B61AE" w:rsidRDefault="001A25D2" w:rsidP="001A25D2">
            <w:pPr>
              <w:jc w:val="center"/>
              <w:rPr>
                <w:rFonts w:ascii="Calibri" w:hAnsi="Calibri" w:cs="Calibri"/>
                <w:color w:val="000000"/>
                <w:sz w:val="18"/>
                <w:szCs w:val="18"/>
              </w:rPr>
            </w:pPr>
            <w:r w:rsidRPr="002B61AE">
              <w:rPr>
                <w:rFonts w:ascii="Calibri" w:hAnsi="Calibri" w:cs="Calibri"/>
                <w:color w:val="000000"/>
                <w:sz w:val="18"/>
                <w:szCs w:val="18"/>
              </w:rPr>
              <w:t> </w:t>
            </w:r>
          </w:p>
        </w:tc>
        <w:tc>
          <w:tcPr>
            <w:tcW w:w="3590" w:type="dxa"/>
            <w:tcBorders>
              <w:top w:val="nil"/>
              <w:left w:val="nil"/>
              <w:bottom w:val="nil"/>
              <w:right w:val="nil"/>
            </w:tcBorders>
            <w:shd w:val="clear" w:color="auto" w:fill="auto"/>
            <w:noWrap/>
            <w:vAlign w:val="bottom"/>
            <w:hideMark/>
          </w:tcPr>
          <w:p w14:paraId="1B50C319" w14:textId="77777777" w:rsidR="001A25D2" w:rsidRPr="002B61AE" w:rsidRDefault="001A25D2" w:rsidP="001A25D2">
            <w:pPr>
              <w:rPr>
                <w:rFonts w:ascii="Calibri" w:hAnsi="Calibri" w:cs="Calibri"/>
                <w:color w:val="000000"/>
                <w:sz w:val="18"/>
                <w:szCs w:val="18"/>
              </w:rPr>
            </w:pPr>
            <w:r w:rsidRPr="002B61AE">
              <w:rPr>
                <w:rFonts w:ascii="Calibri" w:hAnsi="Calibri" w:cs="Calibri"/>
                <w:color w:val="000000"/>
                <w:sz w:val="18"/>
                <w:szCs w:val="18"/>
                <w:u w:val="single"/>
              </w:rPr>
              <w:t>100% Sharing Accounts</w:t>
            </w:r>
          </w:p>
        </w:tc>
        <w:tc>
          <w:tcPr>
            <w:tcW w:w="1814" w:type="dxa"/>
            <w:tcBorders>
              <w:top w:val="nil"/>
              <w:left w:val="nil"/>
              <w:bottom w:val="nil"/>
              <w:right w:val="nil"/>
            </w:tcBorders>
            <w:shd w:val="clear" w:color="auto" w:fill="auto"/>
            <w:noWrap/>
            <w:vAlign w:val="bottom"/>
            <w:hideMark/>
          </w:tcPr>
          <w:p w14:paraId="04595819" w14:textId="77777777" w:rsidR="001A25D2" w:rsidRPr="002B61AE" w:rsidRDefault="001A25D2" w:rsidP="001A25D2">
            <w:pPr>
              <w:rPr>
                <w:rFonts w:ascii="Calibri" w:hAnsi="Calibri" w:cs="Calibri"/>
                <w:color w:val="000000"/>
                <w:sz w:val="18"/>
                <w:szCs w:val="18"/>
              </w:rPr>
            </w:pPr>
          </w:p>
        </w:tc>
        <w:tc>
          <w:tcPr>
            <w:tcW w:w="1588" w:type="dxa"/>
            <w:tcBorders>
              <w:top w:val="nil"/>
              <w:left w:val="nil"/>
              <w:bottom w:val="nil"/>
              <w:right w:val="nil"/>
            </w:tcBorders>
            <w:shd w:val="clear" w:color="auto" w:fill="auto"/>
            <w:noWrap/>
            <w:vAlign w:val="bottom"/>
            <w:hideMark/>
          </w:tcPr>
          <w:p w14:paraId="72956B87" w14:textId="77777777" w:rsidR="001A25D2" w:rsidRPr="002B61AE" w:rsidRDefault="001A25D2" w:rsidP="001A25D2">
            <w:pPr>
              <w:jc w:val="right"/>
              <w:rPr>
                <w:rFonts w:ascii="Times New Roman" w:hAnsi="Times New Roman"/>
                <w:sz w:val="20"/>
              </w:rPr>
            </w:pPr>
          </w:p>
        </w:tc>
        <w:tc>
          <w:tcPr>
            <w:tcW w:w="1703" w:type="dxa"/>
            <w:tcBorders>
              <w:top w:val="nil"/>
              <w:left w:val="nil"/>
              <w:bottom w:val="nil"/>
              <w:right w:val="single" w:sz="4" w:space="0" w:color="auto"/>
            </w:tcBorders>
            <w:shd w:val="clear" w:color="auto" w:fill="auto"/>
            <w:noWrap/>
            <w:vAlign w:val="bottom"/>
            <w:hideMark/>
          </w:tcPr>
          <w:p w14:paraId="694B1FF0" w14:textId="77777777" w:rsidR="001A25D2" w:rsidRPr="002B61AE" w:rsidRDefault="001A25D2" w:rsidP="001A25D2">
            <w:pPr>
              <w:jc w:val="right"/>
              <w:rPr>
                <w:rFonts w:ascii="Calibri" w:hAnsi="Calibri" w:cs="Calibri"/>
                <w:color w:val="000000"/>
                <w:sz w:val="18"/>
                <w:szCs w:val="18"/>
              </w:rPr>
            </w:pPr>
            <w:r w:rsidRPr="002B61AE">
              <w:rPr>
                <w:rFonts w:ascii="Calibri" w:hAnsi="Calibri" w:cs="Calibri"/>
                <w:color w:val="000000"/>
                <w:sz w:val="18"/>
                <w:szCs w:val="18"/>
              </w:rPr>
              <w:t> </w:t>
            </w:r>
          </w:p>
        </w:tc>
      </w:tr>
      <w:tr w:rsidR="001A25D2" w:rsidRPr="002B61AE" w14:paraId="186A2D8B" w14:textId="77777777" w:rsidTr="00C1568C">
        <w:trPr>
          <w:trHeight w:val="288"/>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0117FAE7" w14:textId="77777777" w:rsidR="001A25D2" w:rsidRPr="002B61AE" w:rsidRDefault="001A25D2" w:rsidP="001A25D2">
            <w:pPr>
              <w:jc w:val="center"/>
              <w:rPr>
                <w:rFonts w:ascii="Calibri" w:hAnsi="Calibri" w:cs="Calibri"/>
                <w:color w:val="000000"/>
                <w:sz w:val="18"/>
                <w:szCs w:val="18"/>
              </w:rPr>
            </w:pPr>
            <w:r w:rsidRPr="002B61AE">
              <w:rPr>
                <w:rFonts w:ascii="Calibri" w:hAnsi="Calibri" w:cs="Calibri"/>
                <w:color w:val="000000"/>
                <w:sz w:val="18"/>
                <w:szCs w:val="18"/>
              </w:rPr>
              <w:t>5</w:t>
            </w:r>
          </w:p>
        </w:tc>
        <w:tc>
          <w:tcPr>
            <w:tcW w:w="3590" w:type="dxa"/>
            <w:tcBorders>
              <w:top w:val="nil"/>
              <w:left w:val="nil"/>
              <w:bottom w:val="single" w:sz="4" w:space="0" w:color="auto"/>
              <w:right w:val="nil"/>
            </w:tcBorders>
            <w:shd w:val="clear" w:color="auto" w:fill="auto"/>
            <w:noWrap/>
            <w:vAlign w:val="bottom"/>
            <w:hideMark/>
          </w:tcPr>
          <w:p w14:paraId="10013023" w14:textId="77777777" w:rsidR="001A25D2" w:rsidRPr="002B61AE" w:rsidRDefault="001A25D2" w:rsidP="001A25D2">
            <w:pPr>
              <w:rPr>
                <w:rFonts w:ascii="Calibri" w:hAnsi="Calibri" w:cs="Calibri"/>
                <w:color w:val="000000"/>
                <w:sz w:val="18"/>
                <w:szCs w:val="18"/>
                <w:u w:val="single"/>
              </w:rPr>
            </w:pPr>
            <w:r w:rsidRPr="002B61AE">
              <w:rPr>
                <w:rFonts w:ascii="Calibri" w:hAnsi="Calibri" w:cs="Calibri"/>
                <w:color w:val="000000"/>
                <w:sz w:val="18"/>
                <w:szCs w:val="18"/>
              </w:rPr>
              <w:t>Account 555, PURPA</w:t>
            </w:r>
          </w:p>
        </w:tc>
        <w:tc>
          <w:tcPr>
            <w:tcW w:w="1814" w:type="dxa"/>
            <w:tcBorders>
              <w:top w:val="nil"/>
              <w:left w:val="nil"/>
              <w:bottom w:val="single" w:sz="4" w:space="0" w:color="auto"/>
              <w:right w:val="nil"/>
            </w:tcBorders>
            <w:shd w:val="clear" w:color="auto" w:fill="auto"/>
            <w:noWrap/>
            <w:vAlign w:val="bottom"/>
            <w:hideMark/>
          </w:tcPr>
          <w:p w14:paraId="18A06C61" w14:textId="26EDE829" w:rsidR="001A25D2" w:rsidRPr="002B61AE" w:rsidRDefault="001A25D2" w:rsidP="001A25D2">
            <w:pPr>
              <w:jc w:val="right"/>
              <w:rPr>
                <w:rFonts w:ascii="Calibri" w:hAnsi="Calibri" w:cs="Calibri"/>
                <w:color w:val="000000"/>
                <w:sz w:val="18"/>
                <w:szCs w:val="18"/>
                <w:u w:val="single"/>
              </w:rPr>
            </w:pPr>
            <w:r w:rsidRPr="002B61AE">
              <w:rPr>
                <w:rFonts w:ascii="Calibri" w:hAnsi="Calibri" w:cs="Calibri"/>
                <w:color w:val="000000"/>
                <w:sz w:val="18"/>
                <w:szCs w:val="18"/>
              </w:rPr>
              <w:t xml:space="preserve">              3,038,613 </w:t>
            </w:r>
          </w:p>
        </w:tc>
        <w:tc>
          <w:tcPr>
            <w:tcW w:w="1588" w:type="dxa"/>
            <w:tcBorders>
              <w:top w:val="nil"/>
              <w:left w:val="nil"/>
              <w:bottom w:val="single" w:sz="4" w:space="0" w:color="auto"/>
              <w:right w:val="nil"/>
            </w:tcBorders>
            <w:shd w:val="clear" w:color="auto" w:fill="auto"/>
            <w:noWrap/>
            <w:vAlign w:val="bottom"/>
            <w:hideMark/>
          </w:tcPr>
          <w:p w14:paraId="5D6A7865" w14:textId="0DF913E9" w:rsidR="001A25D2" w:rsidRPr="002B61AE" w:rsidRDefault="001A25D2" w:rsidP="001A25D2">
            <w:pPr>
              <w:jc w:val="right"/>
              <w:rPr>
                <w:rFonts w:ascii="Times New Roman" w:hAnsi="Times New Roman"/>
                <w:sz w:val="20"/>
              </w:rPr>
            </w:pPr>
            <w:r w:rsidRPr="002B61AE">
              <w:rPr>
                <w:rFonts w:ascii="Calibri" w:hAnsi="Calibri" w:cs="Calibri"/>
                <w:color w:val="000000"/>
                <w:sz w:val="18"/>
                <w:szCs w:val="18"/>
              </w:rPr>
              <w:t xml:space="preserve">              3,</w:t>
            </w:r>
            <w:r>
              <w:rPr>
                <w:rFonts w:ascii="Calibri" w:hAnsi="Calibri" w:cs="Calibri"/>
                <w:color w:val="000000"/>
                <w:sz w:val="18"/>
                <w:szCs w:val="18"/>
              </w:rPr>
              <w:t>057,802</w:t>
            </w:r>
            <w:r w:rsidRPr="002B61AE">
              <w:rPr>
                <w:rFonts w:ascii="Calibri" w:hAnsi="Calibri" w:cs="Calibri"/>
                <w:color w:val="000000"/>
                <w:sz w:val="18"/>
                <w:szCs w:val="18"/>
              </w:rPr>
              <w:t xml:space="preserve"> </w:t>
            </w:r>
          </w:p>
        </w:tc>
        <w:tc>
          <w:tcPr>
            <w:tcW w:w="1703" w:type="dxa"/>
            <w:tcBorders>
              <w:top w:val="nil"/>
              <w:left w:val="nil"/>
              <w:bottom w:val="single" w:sz="4" w:space="0" w:color="auto"/>
              <w:right w:val="single" w:sz="4" w:space="0" w:color="auto"/>
            </w:tcBorders>
            <w:shd w:val="clear" w:color="auto" w:fill="auto"/>
            <w:noWrap/>
            <w:vAlign w:val="bottom"/>
            <w:hideMark/>
          </w:tcPr>
          <w:p w14:paraId="58999EB3" w14:textId="658B1B69" w:rsidR="001A25D2" w:rsidRPr="002B61AE" w:rsidRDefault="001A25D2" w:rsidP="001A25D2">
            <w:pPr>
              <w:jc w:val="right"/>
              <w:rPr>
                <w:rFonts w:ascii="Calibri" w:hAnsi="Calibri" w:cs="Calibri"/>
                <w:color w:val="000000"/>
                <w:sz w:val="18"/>
                <w:szCs w:val="18"/>
              </w:rPr>
            </w:pPr>
            <w:r w:rsidRPr="002B61AE">
              <w:rPr>
                <w:rFonts w:ascii="Calibri" w:hAnsi="Calibri" w:cs="Calibri"/>
                <w:color w:val="000000"/>
                <w:sz w:val="18"/>
                <w:szCs w:val="18"/>
              </w:rPr>
              <w:t xml:space="preserve">                   </w:t>
            </w:r>
            <w:r w:rsidR="00C1568C">
              <w:rPr>
                <w:rFonts w:ascii="Calibri" w:hAnsi="Calibri" w:cs="Calibri"/>
                <w:color w:val="000000"/>
                <w:sz w:val="18"/>
                <w:szCs w:val="18"/>
              </w:rPr>
              <w:t>19,189</w:t>
            </w:r>
            <w:r w:rsidRPr="002B61AE">
              <w:rPr>
                <w:rFonts w:ascii="Calibri" w:hAnsi="Calibri" w:cs="Calibri"/>
                <w:color w:val="000000"/>
                <w:sz w:val="18"/>
                <w:szCs w:val="18"/>
              </w:rPr>
              <w:t xml:space="preserve"> </w:t>
            </w:r>
          </w:p>
        </w:tc>
      </w:tr>
      <w:tr w:rsidR="001A25D2" w:rsidRPr="002B61AE" w14:paraId="1BB476EA" w14:textId="77777777" w:rsidTr="00C1568C">
        <w:trPr>
          <w:trHeight w:val="80"/>
          <w:jc w:val="center"/>
        </w:trPr>
        <w:tc>
          <w:tcPr>
            <w:tcW w:w="840" w:type="dxa"/>
            <w:tcBorders>
              <w:top w:val="nil"/>
              <w:left w:val="single" w:sz="4" w:space="0" w:color="auto"/>
              <w:bottom w:val="nil"/>
              <w:right w:val="single" w:sz="4" w:space="0" w:color="auto"/>
            </w:tcBorders>
            <w:shd w:val="clear" w:color="auto" w:fill="auto"/>
            <w:noWrap/>
            <w:vAlign w:val="bottom"/>
            <w:hideMark/>
          </w:tcPr>
          <w:p w14:paraId="3C61F248" w14:textId="77777777" w:rsidR="001A25D2" w:rsidRPr="002B61AE" w:rsidRDefault="001A25D2" w:rsidP="001A25D2">
            <w:pPr>
              <w:jc w:val="center"/>
              <w:rPr>
                <w:rFonts w:ascii="Calibri" w:hAnsi="Calibri" w:cs="Calibri"/>
                <w:color w:val="000000"/>
                <w:sz w:val="18"/>
                <w:szCs w:val="18"/>
              </w:rPr>
            </w:pPr>
            <w:r w:rsidRPr="002B61AE">
              <w:rPr>
                <w:rFonts w:ascii="Calibri" w:hAnsi="Calibri" w:cs="Calibri"/>
                <w:color w:val="000000"/>
                <w:sz w:val="18"/>
                <w:szCs w:val="18"/>
              </w:rPr>
              <w:t> </w:t>
            </w:r>
          </w:p>
        </w:tc>
        <w:tc>
          <w:tcPr>
            <w:tcW w:w="3590" w:type="dxa"/>
            <w:tcBorders>
              <w:top w:val="nil"/>
              <w:left w:val="nil"/>
              <w:bottom w:val="nil"/>
              <w:right w:val="nil"/>
            </w:tcBorders>
            <w:shd w:val="clear" w:color="auto" w:fill="auto"/>
            <w:noWrap/>
            <w:vAlign w:val="bottom"/>
            <w:hideMark/>
          </w:tcPr>
          <w:p w14:paraId="14988442" w14:textId="77777777" w:rsidR="001A25D2" w:rsidRPr="002B61AE" w:rsidRDefault="001A25D2" w:rsidP="001A25D2">
            <w:pPr>
              <w:rPr>
                <w:rFonts w:ascii="Calibri" w:hAnsi="Calibri" w:cs="Calibri"/>
                <w:color w:val="000000"/>
                <w:sz w:val="18"/>
                <w:szCs w:val="18"/>
              </w:rPr>
            </w:pPr>
            <w:r w:rsidRPr="002B61AE">
              <w:rPr>
                <w:rFonts w:ascii="Calibri" w:hAnsi="Calibri" w:cs="Calibri"/>
                <w:color w:val="000000"/>
                <w:sz w:val="18"/>
                <w:szCs w:val="18"/>
              </w:rPr>
              <w:t>100% Accounts</w:t>
            </w:r>
          </w:p>
        </w:tc>
        <w:tc>
          <w:tcPr>
            <w:tcW w:w="1814" w:type="dxa"/>
            <w:tcBorders>
              <w:top w:val="nil"/>
              <w:left w:val="nil"/>
              <w:bottom w:val="nil"/>
              <w:right w:val="nil"/>
            </w:tcBorders>
            <w:shd w:val="clear" w:color="auto" w:fill="auto"/>
            <w:noWrap/>
            <w:vAlign w:val="bottom"/>
            <w:hideMark/>
          </w:tcPr>
          <w:p w14:paraId="3A16921F" w14:textId="0E2CFF1D" w:rsidR="001A25D2" w:rsidRPr="002B61AE" w:rsidRDefault="001A25D2" w:rsidP="001A25D2">
            <w:pPr>
              <w:jc w:val="right"/>
              <w:rPr>
                <w:rFonts w:ascii="Calibri" w:hAnsi="Calibri" w:cs="Calibri"/>
                <w:color w:val="000000"/>
                <w:sz w:val="18"/>
                <w:szCs w:val="18"/>
              </w:rPr>
            </w:pPr>
            <w:r w:rsidRPr="002B61AE">
              <w:rPr>
                <w:rFonts w:ascii="Calibri" w:hAnsi="Calibri" w:cs="Calibri"/>
                <w:color w:val="000000"/>
                <w:sz w:val="18"/>
                <w:szCs w:val="18"/>
              </w:rPr>
              <w:t xml:space="preserve">              3,038,613 </w:t>
            </w:r>
          </w:p>
        </w:tc>
        <w:tc>
          <w:tcPr>
            <w:tcW w:w="1588" w:type="dxa"/>
            <w:tcBorders>
              <w:top w:val="nil"/>
              <w:left w:val="nil"/>
              <w:bottom w:val="nil"/>
              <w:right w:val="nil"/>
            </w:tcBorders>
            <w:shd w:val="clear" w:color="auto" w:fill="auto"/>
            <w:noWrap/>
            <w:vAlign w:val="bottom"/>
            <w:hideMark/>
          </w:tcPr>
          <w:p w14:paraId="0EF0874E" w14:textId="06382061" w:rsidR="001A25D2" w:rsidRPr="002B61AE" w:rsidRDefault="001A25D2" w:rsidP="001A25D2">
            <w:pPr>
              <w:jc w:val="right"/>
              <w:rPr>
                <w:rFonts w:ascii="Calibri" w:hAnsi="Calibri" w:cs="Calibri"/>
                <w:color w:val="000000"/>
                <w:sz w:val="18"/>
                <w:szCs w:val="18"/>
              </w:rPr>
            </w:pPr>
            <w:r w:rsidRPr="002B61AE">
              <w:rPr>
                <w:rFonts w:ascii="Calibri" w:hAnsi="Calibri" w:cs="Calibri"/>
                <w:color w:val="000000"/>
                <w:sz w:val="18"/>
                <w:szCs w:val="18"/>
              </w:rPr>
              <w:t xml:space="preserve">              3,</w:t>
            </w:r>
            <w:r>
              <w:rPr>
                <w:rFonts w:ascii="Calibri" w:hAnsi="Calibri" w:cs="Calibri"/>
                <w:color w:val="000000"/>
                <w:sz w:val="18"/>
                <w:szCs w:val="18"/>
              </w:rPr>
              <w:t>057,802</w:t>
            </w:r>
          </w:p>
        </w:tc>
        <w:tc>
          <w:tcPr>
            <w:tcW w:w="1703" w:type="dxa"/>
            <w:tcBorders>
              <w:top w:val="nil"/>
              <w:left w:val="nil"/>
              <w:bottom w:val="nil"/>
              <w:right w:val="single" w:sz="4" w:space="0" w:color="auto"/>
            </w:tcBorders>
            <w:shd w:val="clear" w:color="auto" w:fill="auto"/>
            <w:noWrap/>
            <w:vAlign w:val="bottom"/>
            <w:hideMark/>
          </w:tcPr>
          <w:p w14:paraId="3C837F39" w14:textId="639E6A5C" w:rsidR="001A25D2" w:rsidRPr="002B61AE" w:rsidRDefault="001A25D2" w:rsidP="001A25D2">
            <w:pPr>
              <w:jc w:val="right"/>
              <w:rPr>
                <w:rFonts w:ascii="Calibri" w:hAnsi="Calibri" w:cs="Calibri"/>
                <w:color w:val="000000"/>
                <w:sz w:val="18"/>
                <w:szCs w:val="18"/>
              </w:rPr>
            </w:pPr>
            <w:r w:rsidRPr="002B61AE">
              <w:rPr>
                <w:rFonts w:ascii="Calibri" w:hAnsi="Calibri" w:cs="Calibri"/>
                <w:color w:val="000000"/>
                <w:sz w:val="18"/>
                <w:szCs w:val="18"/>
              </w:rPr>
              <w:t xml:space="preserve">                    </w:t>
            </w:r>
            <w:r w:rsidR="00C1568C">
              <w:rPr>
                <w:rFonts w:ascii="Calibri" w:hAnsi="Calibri" w:cs="Calibri"/>
                <w:color w:val="000000"/>
                <w:sz w:val="18"/>
                <w:szCs w:val="18"/>
              </w:rPr>
              <w:t>19,189</w:t>
            </w:r>
            <w:r w:rsidRPr="002B61AE">
              <w:rPr>
                <w:rFonts w:ascii="Calibri" w:hAnsi="Calibri" w:cs="Calibri"/>
                <w:color w:val="000000"/>
                <w:sz w:val="18"/>
                <w:szCs w:val="18"/>
              </w:rPr>
              <w:t xml:space="preserve"> </w:t>
            </w:r>
          </w:p>
        </w:tc>
      </w:tr>
      <w:tr w:rsidR="001A25D2" w:rsidRPr="002B61AE" w14:paraId="519FB2E8" w14:textId="77777777" w:rsidTr="00C1568C">
        <w:trPr>
          <w:trHeight w:val="70"/>
          <w:jc w:val="center"/>
        </w:trPr>
        <w:tc>
          <w:tcPr>
            <w:tcW w:w="840" w:type="dxa"/>
            <w:tcBorders>
              <w:top w:val="nil"/>
              <w:left w:val="single" w:sz="4" w:space="0" w:color="auto"/>
              <w:bottom w:val="nil"/>
              <w:right w:val="single" w:sz="4" w:space="0" w:color="auto"/>
            </w:tcBorders>
            <w:shd w:val="clear" w:color="auto" w:fill="auto"/>
            <w:noWrap/>
            <w:vAlign w:val="bottom"/>
            <w:hideMark/>
          </w:tcPr>
          <w:p w14:paraId="7542B43D" w14:textId="77777777" w:rsidR="001A25D2" w:rsidRPr="002B61AE" w:rsidRDefault="001A25D2" w:rsidP="001A25D2">
            <w:pPr>
              <w:jc w:val="center"/>
              <w:rPr>
                <w:rFonts w:ascii="Calibri" w:hAnsi="Calibri" w:cs="Calibri"/>
                <w:color w:val="000000"/>
                <w:sz w:val="18"/>
                <w:szCs w:val="18"/>
              </w:rPr>
            </w:pPr>
            <w:r w:rsidRPr="002B61AE">
              <w:rPr>
                <w:rFonts w:ascii="Calibri" w:hAnsi="Calibri" w:cs="Calibri"/>
                <w:color w:val="000000"/>
                <w:sz w:val="18"/>
                <w:szCs w:val="18"/>
              </w:rPr>
              <w:t> </w:t>
            </w:r>
          </w:p>
        </w:tc>
        <w:tc>
          <w:tcPr>
            <w:tcW w:w="3590" w:type="dxa"/>
            <w:tcBorders>
              <w:top w:val="nil"/>
              <w:left w:val="nil"/>
              <w:bottom w:val="nil"/>
              <w:right w:val="nil"/>
            </w:tcBorders>
            <w:shd w:val="clear" w:color="auto" w:fill="auto"/>
            <w:noWrap/>
            <w:vAlign w:val="bottom"/>
            <w:hideMark/>
          </w:tcPr>
          <w:p w14:paraId="1B098212" w14:textId="77777777" w:rsidR="001A25D2" w:rsidRPr="002B61AE" w:rsidRDefault="001A25D2" w:rsidP="001A25D2">
            <w:pPr>
              <w:rPr>
                <w:rFonts w:ascii="Calibri" w:hAnsi="Calibri" w:cs="Calibri"/>
                <w:color w:val="000000"/>
                <w:sz w:val="18"/>
                <w:szCs w:val="18"/>
              </w:rPr>
            </w:pPr>
            <w:r w:rsidRPr="002B61AE">
              <w:rPr>
                <w:rFonts w:ascii="Calibri" w:hAnsi="Calibri" w:cs="Calibri"/>
                <w:color w:val="000000"/>
                <w:sz w:val="18"/>
                <w:szCs w:val="18"/>
              </w:rPr>
              <w:t> </w:t>
            </w:r>
          </w:p>
        </w:tc>
        <w:tc>
          <w:tcPr>
            <w:tcW w:w="1814" w:type="dxa"/>
            <w:tcBorders>
              <w:top w:val="nil"/>
              <w:left w:val="nil"/>
              <w:bottom w:val="nil"/>
              <w:right w:val="nil"/>
            </w:tcBorders>
            <w:shd w:val="clear" w:color="auto" w:fill="auto"/>
            <w:noWrap/>
            <w:vAlign w:val="bottom"/>
            <w:hideMark/>
          </w:tcPr>
          <w:p w14:paraId="56CFB465" w14:textId="77777777" w:rsidR="001A25D2" w:rsidRPr="002B61AE" w:rsidRDefault="001A25D2" w:rsidP="001A25D2">
            <w:pPr>
              <w:jc w:val="right"/>
              <w:rPr>
                <w:rFonts w:ascii="Calibri" w:hAnsi="Calibri" w:cs="Calibri"/>
                <w:color w:val="000000"/>
                <w:sz w:val="18"/>
                <w:szCs w:val="18"/>
              </w:rPr>
            </w:pPr>
          </w:p>
        </w:tc>
        <w:tc>
          <w:tcPr>
            <w:tcW w:w="1588" w:type="dxa"/>
            <w:tcBorders>
              <w:top w:val="nil"/>
              <w:left w:val="nil"/>
              <w:bottom w:val="nil"/>
              <w:right w:val="nil"/>
            </w:tcBorders>
            <w:shd w:val="clear" w:color="auto" w:fill="auto"/>
            <w:noWrap/>
            <w:vAlign w:val="bottom"/>
            <w:hideMark/>
          </w:tcPr>
          <w:p w14:paraId="794867F2" w14:textId="77777777" w:rsidR="001A25D2" w:rsidRPr="002B61AE" w:rsidRDefault="001A25D2" w:rsidP="001A25D2">
            <w:pPr>
              <w:jc w:val="right"/>
              <w:rPr>
                <w:rFonts w:ascii="Calibri" w:hAnsi="Calibri" w:cs="Calibri"/>
                <w:color w:val="000000"/>
                <w:sz w:val="18"/>
                <w:szCs w:val="18"/>
              </w:rPr>
            </w:pPr>
          </w:p>
        </w:tc>
        <w:tc>
          <w:tcPr>
            <w:tcW w:w="1703" w:type="dxa"/>
            <w:tcBorders>
              <w:top w:val="nil"/>
              <w:left w:val="nil"/>
              <w:bottom w:val="nil"/>
              <w:right w:val="single" w:sz="4" w:space="0" w:color="auto"/>
            </w:tcBorders>
            <w:shd w:val="clear" w:color="auto" w:fill="auto"/>
            <w:noWrap/>
            <w:vAlign w:val="bottom"/>
            <w:hideMark/>
          </w:tcPr>
          <w:p w14:paraId="69C8A646" w14:textId="77777777" w:rsidR="001A25D2" w:rsidRPr="002B61AE" w:rsidRDefault="001A25D2" w:rsidP="001A25D2">
            <w:pPr>
              <w:jc w:val="right"/>
              <w:rPr>
                <w:rFonts w:ascii="Calibri" w:hAnsi="Calibri" w:cs="Calibri"/>
                <w:color w:val="000000"/>
                <w:sz w:val="18"/>
                <w:szCs w:val="18"/>
              </w:rPr>
            </w:pPr>
            <w:r w:rsidRPr="002B61AE">
              <w:rPr>
                <w:rFonts w:ascii="Calibri" w:hAnsi="Calibri" w:cs="Calibri"/>
                <w:color w:val="000000"/>
                <w:sz w:val="18"/>
                <w:szCs w:val="18"/>
              </w:rPr>
              <w:t> </w:t>
            </w:r>
          </w:p>
        </w:tc>
      </w:tr>
      <w:tr w:rsidR="001A25D2" w:rsidRPr="002B61AE" w14:paraId="379DE81D" w14:textId="77777777" w:rsidTr="00C1568C">
        <w:trPr>
          <w:trHeight w:val="300"/>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769F4233" w14:textId="77777777" w:rsidR="001A25D2" w:rsidRPr="002B61AE" w:rsidRDefault="001A25D2" w:rsidP="001A25D2">
            <w:pPr>
              <w:jc w:val="center"/>
              <w:rPr>
                <w:rFonts w:ascii="Calibri" w:hAnsi="Calibri" w:cs="Calibri"/>
                <w:color w:val="000000"/>
                <w:sz w:val="18"/>
                <w:szCs w:val="18"/>
              </w:rPr>
            </w:pPr>
            <w:r w:rsidRPr="002B61AE">
              <w:rPr>
                <w:rFonts w:ascii="Calibri" w:hAnsi="Calibri" w:cs="Calibri"/>
                <w:color w:val="000000"/>
                <w:sz w:val="18"/>
                <w:szCs w:val="18"/>
              </w:rPr>
              <w:t>6</w:t>
            </w:r>
          </w:p>
        </w:tc>
        <w:tc>
          <w:tcPr>
            <w:tcW w:w="3590" w:type="dxa"/>
            <w:tcBorders>
              <w:top w:val="nil"/>
              <w:left w:val="nil"/>
              <w:bottom w:val="single" w:sz="4" w:space="0" w:color="auto"/>
              <w:right w:val="nil"/>
            </w:tcBorders>
            <w:shd w:val="clear" w:color="auto" w:fill="auto"/>
            <w:noWrap/>
            <w:vAlign w:val="bottom"/>
            <w:hideMark/>
          </w:tcPr>
          <w:p w14:paraId="56BB8926" w14:textId="77777777" w:rsidR="001A25D2" w:rsidRPr="002B61AE" w:rsidRDefault="001A25D2" w:rsidP="001A25D2">
            <w:pPr>
              <w:rPr>
                <w:rFonts w:ascii="Calibri" w:hAnsi="Calibri" w:cs="Calibri"/>
                <w:color w:val="000000"/>
                <w:sz w:val="18"/>
                <w:szCs w:val="18"/>
              </w:rPr>
            </w:pPr>
            <w:r w:rsidRPr="002B61AE">
              <w:rPr>
                <w:rFonts w:ascii="Calibri" w:hAnsi="Calibri" w:cs="Calibri"/>
                <w:color w:val="000000"/>
                <w:sz w:val="18"/>
                <w:szCs w:val="18"/>
              </w:rPr>
              <w:t>Total Generation</w:t>
            </w:r>
          </w:p>
        </w:tc>
        <w:tc>
          <w:tcPr>
            <w:tcW w:w="1814" w:type="dxa"/>
            <w:tcBorders>
              <w:top w:val="nil"/>
              <w:left w:val="nil"/>
              <w:bottom w:val="single" w:sz="4" w:space="0" w:color="auto"/>
              <w:right w:val="nil"/>
            </w:tcBorders>
            <w:shd w:val="clear" w:color="auto" w:fill="auto"/>
            <w:noWrap/>
            <w:vAlign w:val="bottom"/>
            <w:hideMark/>
          </w:tcPr>
          <w:p w14:paraId="738962EC" w14:textId="11F71F44" w:rsidR="001A25D2" w:rsidRPr="002B61AE" w:rsidRDefault="001A25D2" w:rsidP="001A25D2">
            <w:pPr>
              <w:jc w:val="right"/>
              <w:rPr>
                <w:rFonts w:ascii="Calibri" w:hAnsi="Calibri" w:cs="Calibri"/>
                <w:color w:val="000000"/>
                <w:sz w:val="18"/>
                <w:szCs w:val="18"/>
              </w:rPr>
            </w:pPr>
            <w:r w:rsidRPr="002B61AE">
              <w:rPr>
                <w:rFonts w:ascii="Calibri" w:hAnsi="Calibri" w:cs="Calibri"/>
                <w:color w:val="000000"/>
                <w:sz w:val="18"/>
                <w:szCs w:val="18"/>
              </w:rPr>
              <w:t xml:space="preserve">            18,231,048 </w:t>
            </w:r>
          </w:p>
        </w:tc>
        <w:tc>
          <w:tcPr>
            <w:tcW w:w="1588" w:type="dxa"/>
            <w:tcBorders>
              <w:top w:val="nil"/>
              <w:left w:val="nil"/>
              <w:bottom w:val="single" w:sz="4" w:space="0" w:color="auto"/>
              <w:right w:val="nil"/>
            </w:tcBorders>
            <w:shd w:val="clear" w:color="auto" w:fill="auto"/>
            <w:noWrap/>
            <w:vAlign w:val="bottom"/>
            <w:hideMark/>
          </w:tcPr>
          <w:p w14:paraId="78A4FC0E" w14:textId="67B4DAA6" w:rsidR="001A25D2" w:rsidRPr="002B61AE" w:rsidRDefault="001A25D2" w:rsidP="001A25D2">
            <w:pPr>
              <w:jc w:val="right"/>
              <w:rPr>
                <w:rFonts w:ascii="Times New Roman" w:hAnsi="Times New Roman"/>
                <w:sz w:val="20"/>
              </w:rPr>
            </w:pPr>
            <w:r w:rsidRPr="002B61AE">
              <w:rPr>
                <w:rFonts w:ascii="Calibri" w:hAnsi="Calibri" w:cs="Calibri"/>
                <w:color w:val="000000"/>
                <w:sz w:val="18"/>
                <w:szCs w:val="18"/>
              </w:rPr>
              <w:t xml:space="preserve">            18,</w:t>
            </w:r>
            <w:r>
              <w:rPr>
                <w:rFonts w:ascii="Calibri" w:hAnsi="Calibri" w:cs="Calibri"/>
                <w:color w:val="000000"/>
                <w:sz w:val="18"/>
                <w:szCs w:val="18"/>
              </w:rPr>
              <w:t>024,169</w:t>
            </w:r>
            <w:r w:rsidRPr="002B61AE">
              <w:rPr>
                <w:rFonts w:ascii="Calibri" w:hAnsi="Calibri" w:cs="Calibri"/>
                <w:color w:val="000000"/>
                <w:sz w:val="18"/>
                <w:szCs w:val="18"/>
              </w:rPr>
              <w:t xml:space="preserve"> </w:t>
            </w:r>
          </w:p>
        </w:tc>
        <w:tc>
          <w:tcPr>
            <w:tcW w:w="1703" w:type="dxa"/>
            <w:tcBorders>
              <w:top w:val="nil"/>
              <w:left w:val="nil"/>
              <w:bottom w:val="single" w:sz="4" w:space="0" w:color="auto"/>
              <w:right w:val="single" w:sz="4" w:space="0" w:color="auto"/>
            </w:tcBorders>
            <w:shd w:val="clear" w:color="auto" w:fill="auto"/>
            <w:noWrap/>
            <w:vAlign w:val="bottom"/>
            <w:hideMark/>
          </w:tcPr>
          <w:p w14:paraId="6C669CE5" w14:textId="1BBB7FE3" w:rsidR="001A25D2" w:rsidRPr="002B61AE" w:rsidRDefault="001A25D2" w:rsidP="001A25D2">
            <w:pPr>
              <w:jc w:val="right"/>
              <w:rPr>
                <w:rFonts w:ascii="Calibri" w:hAnsi="Calibri" w:cs="Calibri"/>
                <w:color w:val="000000"/>
                <w:sz w:val="18"/>
                <w:szCs w:val="18"/>
              </w:rPr>
            </w:pPr>
            <w:r w:rsidRPr="002B61AE">
              <w:rPr>
                <w:rFonts w:ascii="Calibri" w:hAnsi="Calibri" w:cs="Calibri"/>
                <w:color w:val="000000"/>
                <w:sz w:val="18"/>
                <w:szCs w:val="18"/>
              </w:rPr>
              <w:t xml:space="preserve">            </w:t>
            </w:r>
            <w:r>
              <w:rPr>
                <w:rFonts w:ascii="Calibri" w:hAnsi="Calibri" w:cs="Calibri"/>
                <w:color w:val="000000"/>
                <w:sz w:val="18"/>
                <w:szCs w:val="18"/>
              </w:rPr>
              <w:t xml:space="preserve"> </w:t>
            </w:r>
            <w:r w:rsidRPr="002B61AE">
              <w:rPr>
                <w:rFonts w:ascii="Calibri" w:hAnsi="Calibri" w:cs="Calibri"/>
                <w:color w:val="000000"/>
                <w:sz w:val="18"/>
                <w:szCs w:val="18"/>
              </w:rPr>
              <w:t xml:space="preserve">   </w:t>
            </w:r>
            <w:r w:rsidR="00C1568C">
              <w:rPr>
                <w:rFonts w:ascii="Calibri" w:hAnsi="Calibri" w:cs="Calibri"/>
                <w:color w:val="000000"/>
                <w:sz w:val="18"/>
                <w:szCs w:val="18"/>
              </w:rPr>
              <w:t>(206,879)</w:t>
            </w:r>
            <w:r w:rsidRPr="002B61AE">
              <w:rPr>
                <w:rFonts w:ascii="Calibri" w:hAnsi="Calibri" w:cs="Calibri"/>
                <w:color w:val="000000"/>
                <w:sz w:val="18"/>
                <w:szCs w:val="18"/>
              </w:rPr>
              <w:t xml:space="preserve"> </w:t>
            </w:r>
          </w:p>
        </w:tc>
      </w:tr>
      <w:tr w:rsidR="001A25D2" w:rsidRPr="002B61AE" w14:paraId="56FCEE26" w14:textId="77777777" w:rsidTr="00C1568C">
        <w:trPr>
          <w:trHeight w:val="80"/>
          <w:jc w:val="center"/>
        </w:trPr>
        <w:tc>
          <w:tcPr>
            <w:tcW w:w="840" w:type="dxa"/>
            <w:tcBorders>
              <w:top w:val="nil"/>
              <w:left w:val="single" w:sz="4" w:space="0" w:color="auto"/>
              <w:bottom w:val="nil"/>
              <w:right w:val="single" w:sz="4" w:space="0" w:color="auto"/>
            </w:tcBorders>
            <w:shd w:val="clear" w:color="auto" w:fill="auto"/>
            <w:noWrap/>
            <w:vAlign w:val="bottom"/>
            <w:hideMark/>
          </w:tcPr>
          <w:p w14:paraId="3FDE822B" w14:textId="77777777" w:rsidR="001A25D2" w:rsidRPr="002B61AE" w:rsidRDefault="001A25D2" w:rsidP="001A25D2">
            <w:pPr>
              <w:jc w:val="center"/>
              <w:rPr>
                <w:rFonts w:ascii="Calibri" w:hAnsi="Calibri" w:cs="Calibri"/>
                <w:color w:val="000000"/>
                <w:sz w:val="18"/>
                <w:szCs w:val="18"/>
              </w:rPr>
            </w:pPr>
            <w:r w:rsidRPr="002B61AE">
              <w:rPr>
                <w:rFonts w:ascii="Calibri" w:hAnsi="Calibri" w:cs="Calibri"/>
                <w:color w:val="000000"/>
                <w:sz w:val="18"/>
                <w:szCs w:val="18"/>
              </w:rPr>
              <w:t> </w:t>
            </w:r>
          </w:p>
        </w:tc>
        <w:tc>
          <w:tcPr>
            <w:tcW w:w="3590" w:type="dxa"/>
            <w:tcBorders>
              <w:top w:val="nil"/>
              <w:left w:val="nil"/>
              <w:bottom w:val="nil"/>
              <w:right w:val="nil"/>
            </w:tcBorders>
            <w:shd w:val="clear" w:color="auto" w:fill="auto"/>
            <w:noWrap/>
            <w:vAlign w:val="bottom"/>
            <w:hideMark/>
          </w:tcPr>
          <w:p w14:paraId="56347919" w14:textId="77777777" w:rsidR="001A25D2" w:rsidRPr="002B61AE" w:rsidRDefault="001A25D2" w:rsidP="001A25D2">
            <w:pPr>
              <w:rPr>
                <w:rFonts w:ascii="Calibri" w:hAnsi="Calibri" w:cs="Calibri"/>
                <w:color w:val="000000"/>
                <w:sz w:val="18"/>
                <w:szCs w:val="18"/>
              </w:rPr>
            </w:pPr>
            <w:r w:rsidRPr="002B61AE">
              <w:rPr>
                <w:rFonts w:ascii="Calibri" w:hAnsi="Calibri" w:cs="Calibri"/>
                <w:color w:val="000000"/>
                <w:sz w:val="18"/>
                <w:szCs w:val="18"/>
              </w:rPr>
              <w:t> </w:t>
            </w:r>
          </w:p>
        </w:tc>
        <w:tc>
          <w:tcPr>
            <w:tcW w:w="1814" w:type="dxa"/>
            <w:tcBorders>
              <w:top w:val="nil"/>
              <w:left w:val="nil"/>
              <w:bottom w:val="nil"/>
              <w:right w:val="nil"/>
            </w:tcBorders>
            <w:shd w:val="clear" w:color="auto" w:fill="auto"/>
            <w:noWrap/>
            <w:vAlign w:val="bottom"/>
            <w:hideMark/>
          </w:tcPr>
          <w:p w14:paraId="361686E1" w14:textId="77777777" w:rsidR="001A25D2" w:rsidRPr="002B61AE" w:rsidRDefault="001A25D2" w:rsidP="001A25D2">
            <w:pPr>
              <w:jc w:val="right"/>
              <w:rPr>
                <w:rFonts w:ascii="Calibri" w:hAnsi="Calibri" w:cs="Calibri"/>
                <w:color w:val="000000"/>
                <w:sz w:val="18"/>
                <w:szCs w:val="18"/>
              </w:rPr>
            </w:pPr>
          </w:p>
        </w:tc>
        <w:tc>
          <w:tcPr>
            <w:tcW w:w="1588" w:type="dxa"/>
            <w:tcBorders>
              <w:top w:val="nil"/>
              <w:left w:val="nil"/>
              <w:bottom w:val="nil"/>
              <w:right w:val="nil"/>
            </w:tcBorders>
            <w:shd w:val="clear" w:color="auto" w:fill="auto"/>
            <w:noWrap/>
            <w:vAlign w:val="bottom"/>
            <w:hideMark/>
          </w:tcPr>
          <w:p w14:paraId="19413491" w14:textId="77777777" w:rsidR="001A25D2" w:rsidRPr="002B61AE" w:rsidRDefault="001A25D2" w:rsidP="001A25D2">
            <w:pPr>
              <w:jc w:val="right"/>
              <w:rPr>
                <w:rFonts w:ascii="Calibri" w:hAnsi="Calibri" w:cs="Calibri"/>
                <w:color w:val="000000"/>
                <w:sz w:val="18"/>
                <w:szCs w:val="18"/>
              </w:rPr>
            </w:pPr>
          </w:p>
        </w:tc>
        <w:tc>
          <w:tcPr>
            <w:tcW w:w="1703" w:type="dxa"/>
            <w:tcBorders>
              <w:top w:val="nil"/>
              <w:left w:val="nil"/>
              <w:bottom w:val="nil"/>
              <w:right w:val="single" w:sz="4" w:space="0" w:color="auto"/>
            </w:tcBorders>
            <w:shd w:val="clear" w:color="auto" w:fill="auto"/>
            <w:noWrap/>
            <w:vAlign w:val="bottom"/>
            <w:hideMark/>
          </w:tcPr>
          <w:p w14:paraId="758A5572" w14:textId="77777777" w:rsidR="001A25D2" w:rsidRPr="002B61AE" w:rsidRDefault="001A25D2" w:rsidP="001A25D2">
            <w:pPr>
              <w:jc w:val="right"/>
              <w:rPr>
                <w:rFonts w:ascii="Calibri" w:hAnsi="Calibri" w:cs="Calibri"/>
                <w:color w:val="000000"/>
                <w:sz w:val="18"/>
                <w:szCs w:val="18"/>
              </w:rPr>
            </w:pPr>
            <w:r w:rsidRPr="002B61AE">
              <w:rPr>
                <w:rFonts w:ascii="Calibri" w:hAnsi="Calibri" w:cs="Calibri"/>
                <w:color w:val="000000"/>
                <w:sz w:val="18"/>
                <w:szCs w:val="18"/>
              </w:rPr>
              <w:t> </w:t>
            </w:r>
          </w:p>
        </w:tc>
      </w:tr>
      <w:tr w:rsidR="001A25D2" w:rsidRPr="002B61AE" w14:paraId="77A1321B" w14:textId="77777777" w:rsidTr="00C1568C">
        <w:trPr>
          <w:trHeight w:val="70"/>
          <w:jc w:val="center"/>
        </w:trPr>
        <w:tc>
          <w:tcPr>
            <w:tcW w:w="840" w:type="dxa"/>
            <w:tcBorders>
              <w:top w:val="nil"/>
              <w:left w:val="single" w:sz="4" w:space="0" w:color="auto"/>
              <w:bottom w:val="nil"/>
              <w:right w:val="single" w:sz="4" w:space="0" w:color="auto"/>
            </w:tcBorders>
            <w:shd w:val="clear" w:color="auto" w:fill="auto"/>
            <w:noWrap/>
            <w:vAlign w:val="bottom"/>
            <w:hideMark/>
          </w:tcPr>
          <w:p w14:paraId="40490BD6" w14:textId="77777777" w:rsidR="001A25D2" w:rsidRPr="002B61AE" w:rsidRDefault="001A25D2" w:rsidP="001A25D2">
            <w:pPr>
              <w:jc w:val="center"/>
              <w:rPr>
                <w:rFonts w:ascii="Calibri" w:hAnsi="Calibri" w:cs="Calibri"/>
                <w:color w:val="000000"/>
                <w:sz w:val="18"/>
                <w:szCs w:val="18"/>
              </w:rPr>
            </w:pPr>
            <w:r w:rsidRPr="002B61AE">
              <w:rPr>
                <w:rFonts w:ascii="Calibri" w:hAnsi="Calibri" w:cs="Calibri"/>
                <w:color w:val="000000"/>
                <w:sz w:val="18"/>
                <w:szCs w:val="18"/>
              </w:rPr>
              <w:t> </w:t>
            </w:r>
          </w:p>
        </w:tc>
        <w:tc>
          <w:tcPr>
            <w:tcW w:w="3590" w:type="dxa"/>
            <w:tcBorders>
              <w:top w:val="nil"/>
              <w:left w:val="nil"/>
              <w:bottom w:val="nil"/>
              <w:right w:val="nil"/>
            </w:tcBorders>
            <w:shd w:val="clear" w:color="auto" w:fill="auto"/>
            <w:noWrap/>
            <w:vAlign w:val="bottom"/>
            <w:hideMark/>
          </w:tcPr>
          <w:p w14:paraId="4D57D706" w14:textId="77777777" w:rsidR="001A25D2" w:rsidRPr="002B61AE" w:rsidRDefault="001A25D2" w:rsidP="001A25D2">
            <w:pPr>
              <w:rPr>
                <w:rFonts w:ascii="Calibri" w:hAnsi="Calibri" w:cs="Calibri"/>
                <w:color w:val="000000"/>
                <w:sz w:val="18"/>
                <w:szCs w:val="18"/>
              </w:rPr>
            </w:pPr>
            <w:r w:rsidRPr="002B61AE">
              <w:rPr>
                <w:rFonts w:ascii="Calibri" w:hAnsi="Calibri" w:cs="Calibri"/>
                <w:color w:val="000000"/>
                <w:sz w:val="18"/>
                <w:szCs w:val="18"/>
                <w:u w:val="single"/>
              </w:rPr>
              <w:t>95% Sharing Accounts</w:t>
            </w:r>
          </w:p>
        </w:tc>
        <w:tc>
          <w:tcPr>
            <w:tcW w:w="1814" w:type="dxa"/>
            <w:tcBorders>
              <w:top w:val="nil"/>
              <w:left w:val="nil"/>
              <w:bottom w:val="nil"/>
              <w:right w:val="nil"/>
            </w:tcBorders>
            <w:shd w:val="clear" w:color="auto" w:fill="auto"/>
            <w:noWrap/>
            <w:vAlign w:val="bottom"/>
            <w:hideMark/>
          </w:tcPr>
          <w:p w14:paraId="3DE0E98E" w14:textId="77777777" w:rsidR="001A25D2" w:rsidRPr="002B61AE" w:rsidRDefault="001A25D2" w:rsidP="001A25D2">
            <w:pPr>
              <w:rPr>
                <w:rFonts w:ascii="Calibri" w:hAnsi="Calibri" w:cs="Calibri"/>
                <w:color w:val="000000"/>
                <w:sz w:val="18"/>
                <w:szCs w:val="18"/>
              </w:rPr>
            </w:pPr>
          </w:p>
        </w:tc>
        <w:tc>
          <w:tcPr>
            <w:tcW w:w="1588" w:type="dxa"/>
            <w:tcBorders>
              <w:top w:val="nil"/>
              <w:left w:val="nil"/>
              <w:bottom w:val="nil"/>
              <w:right w:val="nil"/>
            </w:tcBorders>
            <w:shd w:val="clear" w:color="auto" w:fill="auto"/>
            <w:noWrap/>
            <w:vAlign w:val="bottom"/>
            <w:hideMark/>
          </w:tcPr>
          <w:p w14:paraId="786CC765" w14:textId="77777777" w:rsidR="001A25D2" w:rsidRPr="002B61AE" w:rsidRDefault="001A25D2" w:rsidP="001A25D2">
            <w:pPr>
              <w:jc w:val="right"/>
              <w:rPr>
                <w:rFonts w:ascii="Times New Roman" w:hAnsi="Times New Roman"/>
                <w:sz w:val="20"/>
              </w:rPr>
            </w:pPr>
          </w:p>
        </w:tc>
        <w:tc>
          <w:tcPr>
            <w:tcW w:w="1703" w:type="dxa"/>
            <w:tcBorders>
              <w:top w:val="nil"/>
              <w:left w:val="nil"/>
              <w:bottom w:val="nil"/>
              <w:right w:val="single" w:sz="4" w:space="0" w:color="auto"/>
            </w:tcBorders>
            <w:shd w:val="clear" w:color="auto" w:fill="auto"/>
            <w:noWrap/>
            <w:vAlign w:val="bottom"/>
            <w:hideMark/>
          </w:tcPr>
          <w:p w14:paraId="002A7398" w14:textId="77777777" w:rsidR="001A25D2" w:rsidRPr="002B61AE" w:rsidRDefault="001A25D2" w:rsidP="001A25D2">
            <w:pPr>
              <w:jc w:val="right"/>
              <w:rPr>
                <w:rFonts w:ascii="Calibri" w:hAnsi="Calibri" w:cs="Calibri"/>
                <w:color w:val="000000"/>
                <w:sz w:val="18"/>
                <w:szCs w:val="18"/>
              </w:rPr>
            </w:pPr>
            <w:r w:rsidRPr="002B61AE">
              <w:rPr>
                <w:rFonts w:ascii="Calibri" w:hAnsi="Calibri" w:cs="Calibri"/>
                <w:color w:val="000000"/>
                <w:sz w:val="18"/>
                <w:szCs w:val="18"/>
              </w:rPr>
              <w:t> </w:t>
            </w:r>
          </w:p>
        </w:tc>
      </w:tr>
      <w:tr w:rsidR="001A25D2" w:rsidRPr="002B61AE" w14:paraId="547EC98D" w14:textId="77777777" w:rsidTr="00C1568C">
        <w:trPr>
          <w:trHeight w:val="243"/>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7E0C363C" w14:textId="77777777" w:rsidR="001A25D2" w:rsidRPr="002B61AE" w:rsidRDefault="001A25D2" w:rsidP="001A25D2">
            <w:pPr>
              <w:jc w:val="center"/>
              <w:rPr>
                <w:rFonts w:ascii="Calibri" w:hAnsi="Calibri" w:cs="Calibri"/>
                <w:color w:val="000000"/>
                <w:sz w:val="18"/>
                <w:szCs w:val="18"/>
              </w:rPr>
            </w:pPr>
            <w:r w:rsidRPr="002B61AE">
              <w:rPr>
                <w:rFonts w:ascii="Calibri" w:hAnsi="Calibri" w:cs="Calibri"/>
                <w:color w:val="000000"/>
                <w:sz w:val="18"/>
                <w:szCs w:val="18"/>
              </w:rPr>
              <w:t>7</w:t>
            </w:r>
          </w:p>
        </w:tc>
        <w:tc>
          <w:tcPr>
            <w:tcW w:w="3590" w:type="dxa"/>
            <w:tcBorders>
              <w:top w:val="nil"/>
              <w:left w:val="nil"/>
              <w:bottom w:val="single" w:sz="4" w:space="0" w:color="auto"/>
              <w:right w:val="nil"/>
            </w:tcBorders>
            <w:shd w:val="clear" w:color="auto" w:fill="auto"/>
            <w:noWrap/>
            <w:vAlign w:val="bottom"/>
            <w:hideMark/>
          </w:tcPr>
          <w:p w14:paraId="358990C3" w14:textId="77777777" w:rsidR="001A25D2" w:rsidRPr="002B61AE" w:rsidRDefault="001A25D2" w:rsidP="001A25D2">
            <w:pPr>
              <w:rPr>
                <w:rFonts w:ascii="Calibri" w:hAnsi="Calibri" w:cs="Calibri"/>
                <w:color w:val="000000"/>
                <w:sz w:val="18"/>
                <w:szCs w:val="18"/>
                <w:u w:val="single"/>
              </w:rPr>
            </w:pPr>
            <w:r w:rsidRPr="002B61AE">
              <w:rPr>
                <w:rFonts w:ascii="Calibri" w:hAnsi="Calibri" w:cs="Calibri"/>
                <w:color w:val="000000"/>
                <w:sz w:val="18"/>
                <w:szCs w:val="18"/>
              </w:rPr>
              <w:t>Account 447, Surplus Sales</w:t>
            </w:r>
          </w:p>
        </w:tc>
        <w:tc>
          <w:tcPr>
            <w:tcW w:w="1814" w:type="dxa"/>
            <w:tcBorders>
              <w:top w:val="nil"/>
              <w:left w:val="nil"/>
              <w:bottom w:val="single" w:sz="4" w:space="0" w:color="auto"/>
              <w:right w:val="nil"/>
            </w:tcBorders>
            <w:shd w:val="clear" w:color="auto" w:fill="auto"/>
            <w:noWrap/>
            <w:vAlign w:val="bottom"/>
            <w:hideMark/>
          </w:tcPr>
          <w:p w14:paraId="79835124" w14:textId="0768D2E7" w:rsidR="001A25D2" w:rsidRPr="002B61AE" w:rsidRDefault="001A25D2" w:rsidP="001A25D2">
            <w:pPr>
              <w:jc w:val="right"/>
              <w:rPr>
                <w:rFonts w:ascii="Calibri" w:hAnsi="Calibri" w:cs="Calibri"/>
                <w:color w:val="000000"/>
                <w:sz w:val="18"/>
                <w:szCs w:val="18"/>
                <w:u w:val="single"/>
              </w:rPr>
            </w:pPr>
            <w:r w:rsidRPr="002B61AE">
              <w:rPr>
                <w:rFonts w:ascii="Calibri" w:hAnsi="Calibri" w:cs="Calibri"/>
                <w:color w:val="000000"/>
                <w:sz w:val="18"/>
                <w:szCs w:val="18"/>
              </w:rPr>
              <w:t xml:space="preserve">              1,258,195 </w:t>
            </w:r>
          </w:p>
        </w:tc>
        <w:tc>
          <w:tcPr>
            <w:tcW w:w="1588" w:type="dxa"/>
            <w:tcBorders>
              <w:top w:val="nil"/>
              <w:left w:val="nil"/>
              <w:bottom w:val="single" w:sz="4" w:space="0" w:color="auto"/>
              <w:right w:val="nil"/>
            </w:tcBorders>
            <w:shd w:val="clear" w:color="auto" w:fill="auto"/>
            <w:noWrap/>
            <w:vAlign w:val="bottom"/>
            <w:hideMark/>
          </w:tcPr>
          <w:p w14:paraId="3DCCDD25" w14:textId="33C215D6" w:rsidR="001A25D2" w:rsidRPr="002B61AE" w:rsidRDefault="001A25D2" w:rsidP="001A25D2">
            <w:pPr>
              <w:jc w:val="right"/>
              <w:rPr>
                <w:rFonts w:ascii="Times New Roman" w:hAnsi="Times New Roman"/>
                <w:sz w:val="20"/>
              </w:rPr>
            </w:pPr>
            <w:r w:rsidRPr="002B61AE">
              <w:rPr>
                <w:rFonts w:ascii="Calibri" w:hAnsi="Calibri" w:cs="Calibri"/>
                <w:color w:val="000000"/>
                <w:sz w:val="18"/>
                <w:szCs w:val="18"/>
              </w:rPr>
              <w:t xml:space="preserve">              1,</w:t>
            </w:r>
            <w:r>
              <w:rPr>
                <w:rFonts w:ascii="Calibri" w:hAnsi="Calibri" w:cs="Calibri"/>
                <w:color w:val="000000"/>
                <w:sz w:val="18"/>
                <w:szCs w:val="18"/>
              </w:rPr>
              <w:t>014,817</w:t>
            </w:r>
            <w:r w:rsidRPr="002B61AE">
              <w:rPr>
                <w:rFonts w:ascii="Calibri" w:hAnsi="Calibri" w:cs="Calibri"/>
                <w:color w:val="000000"/>
                <w:sz w:val="18"/>
                <w:szCs w:val="18"/>
              </w:rPr>
              <w:t xml:space="preserve"> </w:t>
            </w:r>
          </w:p>
        </w:tc>
        <w:tc>
          <w:tcPr>
            <w:tcW w:w="1703" w:type="dxa"/>
            <w:tcBorders>
              <w:top w:val="nil"/>
              <w:left w:val="nil"/>
              <w:bottom w:val="single" w:sz="4" w:space="0" w:color="auto"/>
              <w:right w:val="single" w:sz="4" w:space="0" w:color="auto"/>
            </w:tcBorders>
            <w:shd w:val="clear" w:color="auto" w:fill="auto"/>
            <w:noWrap/>
            <w:vAlign w:val="bottom"/>
            <w:hideMark/>
          </w:tcPr>
          <w:p w14:paraId="774CB313" w14:textId="50D16A21" w:rsidR="001A25D2" w:rsidRPr="002B61AE" w:rsidRDefault="001A25D2" w:rsidP="001A25D2">
            <w:pPr>
              <w:jc w:val="right"/>
              <w:rPr>
                <w:rFonts w:ascii="Calibri" w:hAnsi="Calibri" w:cs="Calibri"/>
                <w:color w:val="000000"/>
                <w:sz w:val="18"/>
                <w:szCs w:val="18"/>
              </w:rPr>
            </w:pPr>
            <w:r w:rsidRPr="002B61AE">
              <w:rPr>
                <w:rFonts w:ascii="Calibri" w:hAnsi="Calibri" w:cs="Calibri"/>
                <w:color w:val="000000"/>
                <w:sz w:val="18"/>
                <w:szCs w:val="18"/>
              </w:rPr>
              <w:t xml:space="preserve">            </w:t>
            </w:r>
            <w:r>
              <w:rPr>
                <w:rFonts w:ascii="Calibri" w:hAnsi="Calibri" w:cs="Calibri"/>
                <w:color w:val="000000"/>
                <w:sz w:val="18"/>
                <w:szCs w:val="18"/>
              </w:rPr>
              <w:t xml:space="preserve"> </w:t>
            </w:r>
            <w:r w:rsidRPr="002B61AE">
              <w:rPr>
                <w:rFonts w:ascii="Calibri" w:hAnsi="Calibri" w:cs="Calibri"/>
                <w:color w:val="000000"/>
                <w:sz w:val="18"/>
                <w:szCs w:val="18"/>
              </w:rPr>
              <w:t xml:space="preserve">      </w:t>
            </w:r>
            <w:r w:rsidR="00C1568C">
              <w:rPr>
                <w:rFonts w:ascii="Calibri" w:hAnsi="Calibri" w:cs="Calibri"/>
                <w:color w:val="000000"/>
                <w:sz w:val="18"/>
                <w:szCs w:val="18"/>
              </w:rPr>
              <w:t>(243,978)</w:t>
            </w:r>
            <w:r w:rsidRPr="002B61AE">
              <w:rPr>
                <w:rFonts w:ascii="Calibri" w:hAnsi="Calibri" w:cs="Calibri"/>
                <w:color w:val="000000"/>
                <w:sz w:val="18"/>
                <w:szCs w:val="18"/>
              </w:rPr>
              <w:t xml:space="preserve"> </w:t>
            </w:r>
          </w:p>
        </w:tc>
      </w:tr>
      <w:tr w:rsidR="001A25D2" w:rsidRPr="002B61AE" w14:paraId="3C00DC18" w14:textId="77777777" w:rsidTr="00C1568C">
        <w:trPr>
          <w:trHeight w:val="377"/>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1F07048F" w14:textId="77777777" w:rsidR="001A25D2" w:rsidRPr="002B61AE" w:rsidRDefault="001A25D2" w:rsidP="001A25D2">
            <w:pPr>
              <w:jc w:val="center"/>
              <w:rPr>
                <w:rFonts w:ascii="Calibri" w:hAnsi="Calibri" w:cs="Calibri"/>
                <w:color w:val="000000"/>
                <w:sz w:val="18"/>
                <w:szCs w:val="18"/>
              </w:rPr>
            </w:pPr>
            <w:r w:rsidRPr="002B61AE">
              <w:rPr>
                <w:rFonts w:ascii="Calibri" w:hAnsi="Calibri" w:cs="Calibri"/>
                <w:color w:val="000000"/>
                <w:sz w:val="18"/>
                <w:szCs w:val="18"/>
              </w:rPr>
              <w:t>8</w:t>
            </w:r>
          </w:p>
        </w:tc>
        <w:tc>
          <w:tcPr>
            <w:tcW w:w="3590" w:type="dxa"/>
            <w:tcBorders>
              <w:top w:val="nil"/>
              <w:left w:val="nil"/>
              <w:bottom w:val="single" w:sz="4" w:space="0" w:color="auto"/>
              <w:right w:val="nil"/>
            </w:tcBorders>
            <w:shd w:val="clear" w:color="auto" w:fill="auto"/>
            <w:noWrap/>
            <w:vAlign w:val="bottom"/>
            <w:hideMark/>
          </w:tcPr>
          <w:p w14:paraId="6B46AFB9" w14:textId="77777777" w:rsidR="001A25D2" w:rsidRPr="002B61AE" w:rsidRDefault="001A25D2" w:rsidP="001A25D2">
            <w:pPr>
              <w:rPr>
                <w:rFonts w:ascii="Calibri" w:hAnsi="Calibri" w:cs="Calibri"/>
                <w:color w:val="000000"/>
                <w:sz w:val="18"/>
                <w:szCs w:val="18"/>
              </w:rPr>
            </w:pPr>
            <w:r w:rsidRPr="002B61AE">
              <w:rPr>
                <w:rFonts w:ascii="Calibri" w:hAnsi="Calibri" w:cs="Calibri"/>
                <w:color w:val="000000"/>
                <w:sz w:val="18"/>
                <w:szCs w:val="18"/>
              </w:rPr>
              <w:t>Total Load</w:t>
            </w:r>
          </w:p>
        </w:tc>
        <w:tc>
          <w:tcPr>
            <w:tcW w:w="1814" w:type="dxa"/>
            <w:tcBorders>
              <w:top w:val="nil"/>
              <w:left w:val="nil"/>
              <w:bottom w:val="single" w:sz="4" w:space="0" w:color="auto"/>
              <w:right w:val="nil"/>
            </w:tcBorders>
            <w:shd w:val="clear" w:color="auto" w:fill="auto"/>
            <w:noWrap/>
            <w:vAlign w:val="bottom"/>
            <w:hideMark/>
          </w:tcPr>
          <w:p w14:paraId="11D03AE1" w14:textId="636A0635" w:rsidR="001A25D2" w:rsidRPr="002B61AE" w:rsidRDefault="001A25D2" w:rsidP="001A25D2">
            <w:pPr>
              <w:jc w:val="right"/>
              <w:rPr>
                <w:rFonts w:ascii="Calibri" w:hAnsi="Calibri" w:cs="Calibri"/>
                <w:color w:val="000000"/>
                <w:sz w:val="18"/>
                <w:szCs w:val="18"/>
              </w:rPr>
            </w:pPr>
            <w:r w:rsidRPr="002B61AE">
              <w:rPr>
                <w:rFonts w:ascii="Calibri" w:hAnsi="Calibri" w:cs="Calibri"/>
                <w:color w:val="000000"/>
                <w:sz w:val="18"/>
                <w:szCs w:val="18"/>
              </w:rPr>
              <w:t xml:space="preserve">            16,972,853 </w:t>
            </w:r>
          </w:p>
        </w:tc>
        <w:tc>
          <w:tcPr>
            <w:tcW w:w="1588" w:type="dxa"/>
            <w:tcBorders>
              <w:top w:val="nil"/>
              <w:left w:val="nil"/>
              <w:bottom w:val="single" w:sz="4" w:space="0" w:color="auto"/>
              <w:right w:val="nil"/>
            </w:tcBorders>
            <w:shd w:val="clear" w:color="auto" w:fill="auto"/>
            <w:noWrap/>
            <w:vAlign w:val="bottom"/>
            <w:hideMark/>
          </w:tcPr>
          <w:p w14:paraId="7C6F8826" w14:textId="30A4E6AC" w:rsidR="001A25D2" w:rsidRPr="002B61AE" w:rsidRDefault="001A25D2" w:rsidP="001A25D2">
            <w:pPr>
              <w:jc w:val="right"/>
              <w:rPr>
                <w:rFonts w:ascii="Calibri" w:hAnsi="Calibri" w:cs="Calibri"/>
                <w:color w:val="000000"/>
                <w:sz w:val="18"/>
                <w:szCs w:val="18"/>
              </w:rPr>
            </w:pPr>
            <w:r w:rsidRPr="002B61AE">
              <w:rPr>
                <w:rFonts w:ascii="Calibri" w:hAnsi="Calibri" w:cs="Calibri"/>
                <w:color w:val="000000"/>
                <w:sz w:val="18"/>
                <w:szCs w:val="18"/>
              </w:rPr>
              <w:t xml:space="preserve">            </w:t>
            </w:r>
            <w:r>
              <w:rPr>
                <w:rFonts w:ascii="Calibri" w:hAnsi="Calibri" w:cs="Calibri"/>
                <w:color w:val="000000"/>
                <w:sz w:val="18"/>
                <w:szCs w:val="18"/>
              </w:rPr>
              <w:t>17,009,352</w:t>
            </w:r>
            <w:r w:rsidRPr="002B61AE">
              <w:rPr>
                <w:rFonts w:ascii="Calibri" w:hAnsi="Calibri" w:cs="Calibri"/>
                <w:color w:val="000000"/>
                <w:sz w:val="18"/>
                <w:szCs w:val="18"/>
              </w:rPr>
              <w:t xml:space="preserve"> </w:t>
            </w:r>
          </w:p>
        </w:tc>
        <w:tc>
          <w:tcPr>
            <w:tcW w:w="1703" w:type="dxa"/>
            <w:tcBorders>
              <w:top w:val="nil"/>
              <w:left w:val="nil"/>
              <w:bottom w:val="single" w:sz="4" w:space="0" w:color="auto"/>
              <w:right w:val="single" w:sz="4" w:space="0" w:color="auto"/>
            </w:tcBorders>
            <w:shd w:val="clear" w:color="auto" w:fill="auto"/>
            <w:noWrap/>
            <w:vAlign w:val="bottom"/>
            <w:hideMark/>
          </w:tcPr>
          <w:p w14:paraId="5DC725C5" w14:textId="72552CF1" w:rsidR="001A25D2" w:rsidRPr="002B61AE" w:rsidRDefault="00C1568C" w:rsidP="001A25D2">
            <w:pPr>
              <w:jc w:val="right"/>
              <w:rPr>
                <w:rFonts w:ascii="Calibri" w:hAnsi="Calibri" w:cs="Calibri"/>
                <w:color w:val="000000"/>
                <w:sz w:val="18"/>
                <w:szCs w:val="18"/>
              </w:rPr>
            </w:pPr>
            <w:r>
              <w:rPr>
                <w:rFonts w:ascii="Calibri" w:hAnsi="Calibri" w:cs="Calibri"/>
                <w:color w:val="000000"/>
                <w:sz w:val="18"/>
                <w:szCs w:val="18"/>
              </w:rPr>
              <w:t>36,499</w:t>
            </w:r>
            <w:r w:rsidR="001A25D2" w:rsidRPr="002B61AE">
              <w:rPr>
                <w:rFonts w:ascii="Calibri" w:hAnsi="Calibri" w:cs="Calibri"/>
                <w:color w:val="000000"/>
                <w:sz w:val="18"/>
                <w:szCs w:val="18"/>
              </w:rPr>
              <w:t xml:space="preserve"> </w:t>
            </w:r>
          </w:p>
        </w:tc>
      </w:tr>
    </w:tbl>
    <w:p w14:paraId="08086348" w14:textId="77777777" w:rsidR="00B67C8D" w:rsidRPr="00B346F0" w:rsidRDefault="00B67C8D" w:rsidP="00B67C8D">
      <w:pPr>
        <w:pStyle w:val="Testimony"/>
        <w:widowControl/>
        <w:tabs>
          <w:tab w:val="clear" w:pos="2160"/>
        </w:tabs>
        <w:spacing w:line="456" w:lineRule="auto"/>
        <w:ind w:firstLine="0"/>
        <w:rPr>
          <w:rFonts w:ascii="Courier New" w:hAnsi="Courier New" w:cs="Courier New"/>
        </w:rPr>
      </w:pPr>
    </w:p>
    <w:p w14:paraId="44D57D79" w14:textId="77777777" w:rsidR="00B67C8D" w:rsidRPr="00B346F0" w:rsidRDefault="00B67C8D" w:rsidP="00B67C8D">
      <w:pPr>
        <w:pStyle w:val="Testimony"/>
        <w:widowControl/>
        <w:tabs>
          <w:tab w:val="clear" w:pos="2160"/>
          <w:tab w:val="left" w:pos="1980"/>
        </w:tabs>
        <w:spacing w:line="456" w:lineRule="auto"/>
        <w:rPr>
          <w:rFonts w:ascii="Courier New" w:hAnsi="Courier New" w:cs="Courier New"/>
        </w:rPr>
      </w:pPr>
      <w:r w:rsidRPr="00B346F0">
        <w:rPr>
          <w:rFonts w:ascii="Courier New" w:hAnsi="Courier New" w:cs="Courier New"/>
        </w:rPr>
        <w:lastRenderedPageBreak/>
        <w:t>Q.</w:t>
      </w:r>
      <w:r w:rsidRPr="00B346F0">
        <w:rPr>
          <w:rFonts w:ascii="Courier New" w:hAnsi="Courier New" w:cs="Courier New"/>
        </w:rPr>
        <w:tab/>
      </w:r>
      <w:r w:rsidR="00B5643F">
        <w:rPr>
          <w:rFonts w:ascii="Courier New" w:hAnsi="Courier New" w:cs="Courier New"/>
        </w:rPr>
        <w:t>What other general conclusions can be drawn from the information in Table 4?</w:t>
      </w:r>
    </w:p>
    <w:p w14:paraId="64517724" w14:textId="5E14EC07" w:rsidR="001B1778" w:rsidRDefault="00B67C8D" w:rsidP="00175DA0">
      <w:pPr>
        <w:pStyle w:val="Testimony"/>
        <w:widowControl/>
        <w:tabs>
          <w:tab w:val="clear" w:pos="2160"/>
          <w:tab w:val="left" w:pos="1980"/>
        </w:tabs>
        <w:spacing w:line="456" w:lineRule="auto"/>
        <w:rPr>
          <w:rFonts w:ascii="Courier New" w:hAnsi="Courier New" w:cs="Courier New"/>
        </w:rPr>
      </w:pPr>
      <w:r w:rsidRPr="00B346F0">
        <w:rPr>
          <w:rFonts w:ascii="Courier New" w:hAnsi="Courier New" w:cs="Courier New"/>
        </w:rPr>
        <w:t>A.</w:t>
      </w:r>
      <w:r w:rsidRPr="00B346F0">
        <w:rPr>
          <w:rFonts w:ascii="Courier New" w:hAnsi="Courier New" w:cs="Courier New"/>
        </w:rPr>
        <w:tab/>
      </w:r>
      <w:r w:rsidRPr="001D2844">
        <w:rPr>
          <w:rFonts w:ascii="Courier New" w:hAnsi="Courier New" w:cs="Courier New"/>
        </w:rPr>
        <w:t xml:space="preserve">Compared to last year’s forecast, </w:t>
      </w:r>
      <w:r w:rsidR="0053579D" w:rsidRPr="001D2844">
        <w:rPr>
          <w:rFonts w:ascii="Courier New" w:hAnsi="Courier New" w:cs="Courier New"/>
        </w:rPr>
        <w:t xml:space="preserve">hydro </w:t>
      </w:r>
      <w:r w:rsidRPr="001D2844">
        <w:rPr>
          <w:rFonts w:ascii="Courier New" w:hAnsi="Courier New" w:cs="Courier New"/>
        </w:rPr>
        <w:t xml:space="preserve">generation is expected to </w:t>
      </w:r>
      <w:r w:rsidR="00C1568C">
        <w:rPr>
          <w:rFonts w:ascii="Courier New" w:hAnsi="Courier New" w:cs="Courier New"/>
        </w:rPr>
        <w:t>increase</w:t>
      </w:r>
      <w:r w:rsidR="0081584E">
        <w:rPr>
          <w:rFonts w:ascii="Courier New" w:hAnsi="Courier New" w:cs="Courier New"/>
        </w:rPr>
        <w:t xml:space="preserve"> from</w:t>
      </w:r>
      <w:r w:rsidRPr="001D2844">
        <w:rPr>
          <w:rFonts w:ascii="Courier New" w:hAnsi="Courier New" w:cs="Courier New"/>
        </w:rPr>
        <w:t xml:space="preserve"> </w:t>
      </w:r>
      <w:r w:rsidR="0081584E">
        <w:rPr>
          <w:rFonts w:ascii="Courier New" w:hAnsi="Courier New" w:cs="Courier New"/>
        </w:rPr>
        <w:t>5,972,743 MWh to 6,487,995</w:t>
      </w:r>
      <w:r w:rsidRPr="001D2844">
        <w:rPr>
          <w:rFonts w:ascii="Courier New" w:hAnsi="Courier New" w:cs="Courier New"/>
        </w:rPr>
        <w:t xml:space="preserve"> MWh, or </w:t>
      </w:r>
      <w:r w:rsidR="00C1568C">
        <w:rPr>
          <w:rFonts w:ascii="Courier New" w:hAnsi="Courier New" w:cs="Courier New"/>
        </w:rPr>
        <w:t>9</w:t>
      </w:r>
      <w:r w:rsidRPr="001D2844">
        <w:rPr>
          <w:rFonts w:ascii="Courier New" w:hAnsi="Courier New" w:cs="Courier New"/>
        </w:rPr>
        <w:t xml:space="preserve"> percent.</w:t>
      </w:r>
      <w:r w:rsidR="005B2626">
        <w:rPr>
          <w:rFonts w:ascii="Courier New" w:hAnsi="Courier New" w:cs="Courier New"/>
        </w:rPr>
        <w:t xml:space="preserve"> </w:t>
      </w:r>
      <w:r w:rsidR="0081584E">
        <w:rPr>
          <w:rFonts w:ascii="Courier New" w:hAnsi="Courier New" w:cs="Courier New"/>
        </w:rPr>
        <w:t>Due to</w:t>
      </w:r>
      <w:r w:rsidR="00C1568C">
        <w:rPr>
          <w:rFonts w:ascii="Courier New" w:hAnsi="Courier New" w:cs="Courier New"/>
        </w:rPr>
        <w:t xml:space="preserve"> the limited coal supply, coal-fired generation is expected to decrease from 5,083,043 MWh to 3,520,905 MWh, or 31 percent.</w:t>
      </w:r>
      <w:r w:rsidR="005B2626">
        <w:rPr>
          <w:rFonts w:ascii="Courier New" w:hAnsi="Courier New" w:cs="Courier New"/>
        </w:rPr>
        <w:t xml:space="preserve"> To offset the reduction in coal-fired generation,</w:t>
      </w:r>
      <w:r w:rsidR="00C1568C">
        <w:rPr>
          <w:rFonts w:ascii="Courier New" w:hAnsi="Courier New" w:cs="Courier New"/>
        </w:rPr>
        <w:t xml:space="preserve"> natural gas generation is expected to increase 28 percent compared to last year. </w:t>
      </w:r>
      <w:r w:rsidR="005B2626">
        <w:rPr>
          <w:rFonts w:ascii="Courier New" w:hAnsi="Courier New" w:cs="Courier New"/>
        </w:rPr>
        <w:t>In addition, non-PURPA</w:t>
      </w:r>
      <w:r w:rsidR="00C1568C">
        <w:rPr>
          <w:rFonts w:ascii="Courier New" w:hAnsi="Courier New" w:cs="Courier New"/>
        </w:rPr>
        <w:t xml:space="preserve"> purchased power is </w:t>
      </w:r>
      <w:r w:rsidR="005B2626">
        <w:rPr>
          <w:rFonts w:ascii="Courier New" w:hAnsi="Courier New" w:cs="Courier New"/>
        </w:rPr>
        <w:t>expected</w:t>
      </w:r>
      <w:r w:rsidR="00C1568C">
        <w:rPr>
          <w:rFonts w:ascii="Courier New" w:hAnsi="Courier New" w:cs="Courier New"/>
        </w:rPr>
        <w:t xml:space="preserve"> to increase 7 percent from last year. This</w:t>
      </w:r>
      <w:r w:rsidR="005B2626">
        <w:rPr>
          <w:rFonts w:ascii="Courier New" w:hAnsi="Courier New" w:cs="Courier New"/>
        </w:rPr>
        <w:t xml:space="preserve"> 7 percent</w:t>
      </w:r>
      <w:r w:rsidR="00C1568C">
        <w:rPr>
          <w:rFonts w:ascii="Courier New" w:hAnsi="Courier New" w:cs="Courier New"/>
        </w:rPr>
        <w:t xml:space="preserve"> increase is due to an increase in </w:t>
      </w:r>
      <w:r w:rsidR="003F0F39">
        <w:rPr>
          <w:rFonts w:ascii="Courier New" w:hAnsi="Courier New" w:cs="Courier New"/>
        </w:rPr>
        <w:t>PPA</w:t>
      </w:r>
      <w:r w:rsidR="00C1568C">
        <w:rPr>
          <w:rFonts w:ascii="Courier New" w:hAnsi="Courier New" w:cs="Courier New"/>
        </w:rPr>
        <w:t xml:space="preserve"> generation, </w:t>
      </w:r>
      <w:r w:rsidR="00573F71">
        <w:rPr>
          <w:rFonts w:ascii="Courier New" w:hAnsi="Courier New" w:cs="Courier New"/>
        </w:rPr>
        <w:t>more specifically</w:t>
      </w:r>
      <w:r w:rsidR="005B2626">
        <w:rPr>
          <w:rFonts w:ascii="Courier New" w:hAnsi="Courier New" w:cs="Courier New"/>
        </w:rPr>
        <w:t>, the increased forecast generation from Jackpot Solar</w:t>
      </w:r>
      <w:r w:rsidR="005F4002">
        <w:rPr>
          <w:rFonts w:ascii="Courier New" w:hAnsi="Courier New" w:cs="Courier New"/>
        </w:rPr>
        <w:t>, which came online in December 2022</w:t>
      </w:r>
      <w:r w:rsidR="005B2626">
        <w:rPr>
          <w:rFonts w:ascii="Courier New" w:hAnsi="Courier New" w:cs="Courier New"/>
        </w:rPr>
        <w:t xml:space="preserve">. </w:t>
      </w:r>
    </w:p>
    <w:p w14:paraId="7BDB892A" w14:textId="265DF6A0" w:rsidR="00B67C8D" w:rsidRPr="00B346F0" w:rsidRDefault="00B67C8D" w:rsidP="00B67C8D">
      <w:pPr>
        <w:pStyle w:val="Testimony"/>
        <w:widowControl/>
        <w:tabs>
          <w:tab w:val="clear" w:pos="2160"/>
          <w:tab w:val="left" w:pos="1980"/>
        </w:tabs>
        <w:spacing w:line="456" w:lineRule="auto"/>
        <w:rPr>
          <w:rFonts w:ascii="Courier New" w:hAnsi="Courier New" w:cs="Courier New"/>
        </w:rPr>
      </w:pPr>
      <w:bookmarkStart w:id="2" w:name="_Hlk5185115"/>
      <w:bookmarkStart w:id="3" w:name="_Hlk132020635"/>
      <w:r w:rsidRPr="00B346F0">
        <w:rPr>
          <w:rFonts w:ascii="Courier New" w:hAnsi="Courier New" w:cs="Courier New"/>
        </w:rPr>
        <w:t>Q.</w:t>
      </w:r>
      <w:r w:rsidRPr="00B346F0">
        <w:rPr>
          <w:rFonts w:ascii="Courier New" w:hAnsi="Courier New" w:cs="Courier New"/>
        </w:rPr>
        <w:tab/>
        <w:t>What is causing the</w:t>
      </w:r>
      <w:r w:rsidR="0081584E">
        <w:rPr>
          <w:rFonts w:ascii="Courier New" w:hAnsi="Courier New" w:cs="Courier New"/>
        </w:rPr>
        <w:t xml:space="preserve"> 9 percent</w:t>
      </w:r>
      <w:r w:rsidRPr="00B346F0">
        <w:rPr>
          <w:rFonts w:ascii="Courier New" w:hAnsi="Courier New" w:cs="Courier New"/>
        </w:rPr>
        <w:t xml:space="preserve"> </w:t>
      </w:r>
      <w:r w:rsidR="00573F71">
        <w:rPr>
          <w:rFonts w:ascii="Courier New" w:hAnsi="Courier New" w:cs="Courier New"/>
        </w:rPr>
        <w:t>increase</w:t>
      </w:r>
      <w:r w:rsidRPr="00B346F0">
        <w:rPr>
          <w:rFonts w:ascii="Courier New" w:hAnsi="Courier New" w:cs="Courier New"/>
        </w:rPr>
        <w:t xml:space="preserve"> in expected hydro generation?</w:t>
      </w:r>
    </w:p>
    <w:p w14:paraId="302A0AB1" w14:textId="3C9193F6" w:rsidR="00B67C8D" w:rsidRPr="00B346F0" w:rsidRDefault="00B67C8D" w:rsidP="00B67C8D">
      <w:pPr>
        <w:pStyle w:val="TxBrp2"/>
        <w:widowControl/>
        <w:tabs>
          <w:tab w:val="clear" w:pos="788"/>
          <w:tab w:val="left" w:pos="1980"/>
        </w:tabs>
        <w:spacing w:line="456" w:lineRule="auto"/>
        <w:ind w:left="0" w:firstLine="1080"/>
        <w:rPr>
          <w:rFonts w:ascii="Courier New" w:hAnsi="Courier New" w:cs="Courier New"/>
        </w:rPr>
      </w:pPr>
      <w:r w:rsidRPr="00B346F0">
        <w:rPr>
          <w:rFonts w:ascii="Courier New" w:hAnsi="Courier New" w:cs="Courier New"/>
          <w:sz w:val="24"/>
          <w:szCs w:val="20"/>
        </w:rPr>
        <w:t>A.</w:t>
      </w:r>
      <w:r w:rsidRPr="00B346F0">
        <w:rPr>
          <w:rFonts w:ascii="Courier New" w:hAnsi="Courier New" w:cs="Courier New"/>
          <w:sz w:val="24"/>
          <w:szCs w:val="20"/>
        </w:rPr>
        <w:tab/>
        <w:t xml:space="preserve">The </w:t>
      </w:r>
      <w:r w:rsidR="00573F71">
        <w:rPr>
          <w:rFonts w:ascii="Courier New" w:hAnsi="Courier New" w:cs="Courier New"/>
          <w:sz w:val="24"/>
          <w:szCs w:val="20"/>
        </w:rPr>
        <w:t>increase</w:t>
      </w:r>
      <w:r w:rsidRPr="00B346F0">
        <w:rPr>
          <w:rFonts w:ascii="Courier New" w:hAnsi="Courier New" w:cs="Courier New"/>
          <w:sz w:val="24"/>
          <w:szCs w:val="20"/>
        </w:rPr>
        <w:t xml:space="preserve"> in expected hydro generation is mainly due to </w:t>
      </w:r>
      <w:r w:rsidR="00573F71">
        <w:rPr>
          <w:rFonts w:ascii="Courier New" w:hAnsi="Courier New" w:cs="Courier New"/>
          <w:sz w:val="24"/>
          <w:szCs w:val="20"/>
        </w:rPr>
        <w:t>higher</w:t>
      </w:r>
      <w:r w:rsidRPr="00B346F0">
        <w:rPr>
          <w:rFonts w:ascii="Courier New" w:hAnsi="Courier New" w:cs="Courier New"/>
          <w:sz w:val="24"/>
          <w:szCs w:val="20"/>
        </w:rPr>
        <w:t xml:space="preserve"> projected inflows into Brownlee</w:t>
      </w:r>
      <w:r w:rsidR="00B02482">
        <w:rPr>
          <w:rFonts w:ascii="Courier New" w:hAnsi="Courier New" w:cs="Courier New"/>
          <w:sz w:val="24"/>
          <w:szCs w:val="20"/>
        </w:rPr>
        <w:t xml:space="preserve"> reservoir</w:t>
      </w:r>
      <w:r w:rsidRPr="00B346F0">
        <w:rPr>
          <w:rFonts w:ascii="Courier New" w:hAnsi="Courier New" w:cs="Courier New"/>
          <w:sz w:val="24"/>
          <w:szCs w:val="20"/>
        </w:rPr>
        <w:t xml:space="preserve">.  The March Operating Plan used in this year’s PCA forecast projects April through July inflows into Brownlee of </w:t>
      </w:r>
      <w:r w:rsidR="006C72AC">
        <w:rPr>
          <w:rFonts w:ascii="Courier New" w:hAnsi="Courier New" w:cs="Courier New"/>
          <w:sz w:val="24"/>
          <w:szCs w:val="20"/>
        </w:rPr>
        <w:t>4.3</w:t>
      </w:r>
      <w:r w:rsidRPr="00B346F0">
        <w:rPr>
          <w:rFonts w:ascii="Courier New" w:hAnsi="Courier New" w:cs="Courier New"/>
          <w:sz w:val="24"/>
          <w:szCs w:val="20"/>
        </w:rPr>
        <w:t xml:space="preserve"> million acre-feet (“MAF”) as compared </w:t>
      </w:r>
      <w:r w:rsidR="004E5B12">
        <w:rPr>
          <w:rFonts w:ascii="Courier New" w:hAnsi="Courier New" w:cs="Courier New"/>
          <w:sz w:val="24"/>
          <w:szCs w:val="20"/>
        </w:rPr>
        <w:t>to</w:t>
      </w:r>
      <w:r w:rsidRPr="00B346F0">
        <w:rPr>
          <w:rFonts w:ascii="Courier New" w:hAnsi="Courier New" w:cs="Courier New"/>
          <w:sz w:val="24"/>
          <w:szCs w:val="20"/>
        </w:rPr>
        <w:t xml:space="preserve"> </w:t>
      </w:r>
      <w:r w:rsidR="00573F71">
        <w:rPr>
          <w:rFonts w:ascii="Courier New" w:hAnsi="Courier New" w:cs="Courier New"/>
          <w:sz w:val="24"/>
          <w:szCs w:val="20"/>
        </w:rPr>
        <w:t>2.9</w:t>
      </w:r>
      <w:r w:rsidRPr="00B346F0">
        <w:rPr>
          <w:rFonts w:ascii="Courier New" w:hAnsi="Courier New" w:cs="Courier New"/>
          <w:sz w:val="24"/>
          <w:szCs w:val="20"/>
        </w:rPr>
        <w:t xml:space="preserve"> MAF used to determine last year’s PCA forecast, a</w:t>
      </w:r>
      <w:r w:rsidR="006C72AC">
        <w:rPr>
          <w:rFonts w:ascii="Courier New" w:hAnsi="Courier New" w:cs="Courier New"/>
          <w:sz w:val="24"/>
          <w:szCs w:val="20"/>
        </w:rPr>
        <w:t>n</w:t>
      </w:r>
      <w:r w:rsidRPr="00B346F0">
        <w:rPr>
          <w:rFonts w:ascii="Courier New" w:hAnsi="Courier New" w:cs="Courier New"/>
          <w:sz w:val="24"/>
          <w:szCs w:val="20"/>
        </w:rPr>
        <w:t xml:space="preserve"> </w:t>
      </w:r>
      <w:r w:rsidR="006C72AC">
        <w:rPr>
          <w:rFonts w:ascii="Courier New" w:hAnsi="Courier New" w:cs="Courier New"/>
          <w:sz w:val="24"/>
          <w:szCs w:val="20"/>
        </w:rPr>
        <w:t>increase</w:t>
      </w:r>
      <w:r w:rsidRPr="00B346F0">
        <w:rPr>
          <w:rFonts w:ascii="Courier New" w:hAnsi="Courier New" w:cs="Courier New"/>
          <w:sz w:val="24"/>
          <w:szCs w:val="20"/>
        </w:rPr>
        <w:t xml:space="preserve"> of </w:t>
      </w:r>
      <w:r w:rsidR="006C72AC">
        <w:rPr>
          <w:rFonts w:ascii="Courier New" w:hAnsi="Courier New" w:cs="Courier New"/>
          <w:sz w:val="24"/>
          <w:szCs w:val="20"/>
        </w:rPr>
        <w:t>69</w:t>
      </w:r>
      <w:r w:rsidRPr="00B346F0">
        <w:rPr>
          <w:rFonts w:ascii="Courier New" w:hAnsi="Courier New" w:cs="Courier New"/>
          <w:sz w:val="24"/>
          <w:szCs w:val="20"/>
        </w:rPr>
        <w:t xml:space="preserve"> percent.  Expected inflows into Brownlee </w:t>
      </w:r>
      <w:r w:rsidR="006C72AC">
        <w:rPr>
          <w:rFonts w:ascii="Courier New" w:hAnsi="Courier New" w:cs="Courier New"/>
          <w:sz w:val="24"/>
          <w:szCs w:val="20"/>
        </w:rPr>
        <w:t>are</w:t>
      </w:r>
      <w:r w:rsidRPr="00B346F0">
        <w:rPr>
          <w:rFonts w:ascii="Courier New" w:hAnsi="Courier New" w:cs="Courier New"/>
          <w:sz w:val="24"/>
          <w:szCs w:val="20"/>
        </w:rPr>
        <w:t xml:space="preserve"> higher </w:t>
      </w:r>
      <w:r w:rsidR="006C72AC">
        <w:rPr>
          <w:rFonts w:ascii="Courier New" w:hAnsi="Courier New" w:cs="Courier New"/>
          <w:sz w:val="24"/>
          <w:szCs w:val="20"/>
        </w:rPr>
        <w:t>than</w:t>
      </w:r>
      <w:r w:rsidRPr="00B346F0">
        <w:rPr>
          <w:rFonts w:ascii="Courier New" w:hAnsi="Courier New" w:cs="Courier New"/>
          <w:sz w:val="24"/>
          <w:szCs w:val="20"/>
        </w:rPr>
        <w:t xml:space="preserve"> last year’s PCA forecast as a result of better snowpack conditions, which provide for sustained runoff and </w:t>
      </w:r>
      <w:r w:rsidRPr="00B346F0">
        <w:rPr>
          <w:rFonts w:ascii="Courier New" w:hAnsi="Courier New" w:cs="Courier New"/>
          <w:sz w:val="24"/>
          <w:szCs w:val="20"/>
        </w:rPr>
        <w:lastRenderedPageBreak/>
        <w:t xml:space="preserve">increased hydro generation during the spring and summer months. </w:t>
      </w:r>
      <w:r w:rsidR="006A1B1F">
        <w:rPr>
          <w:rFonts w:ascii="Courier New" w:hAnsi="Courier New" w:cs="Courier New"/>
          <w:sz w:val="24"/>
          <w:szCs w:val="20"/>
        </w:rPr>
        <w:t>Snowpack conditions used to determine this year’s PCA hydro forecast are 1</w:t>
      </w:r>
      <w:r w:rsidR="00CC6003">
        <w:rPr>
          <w:rFonts w:ascii="Courier New" w:hAnsi="Courier New" w:cs="Courier New"/>
          <w:sz w:val="24"/>
          <w:szCs w:val="20"/>
        </w:rPr>
        <w:t>17</w:t>
      </w:r>
      <w:r w:rsidR="006A1B1F">
        <w:rPr>
          <w:rFonts w:ascii="Courier New" w:hAnsi="Courier New" w:cs="Courier New"/>
          <w:sz w:val="24"/>
          <w:szCs w:val="20"/>
        </w:rPr>
        <w:t xml:space="preserve"> percent of normal, compared to </w:t>
      </w:r>
      <w:r w:rsidR="00CC6003">
        <w:rPr>
          <w:rFonts w:ascii="Courier New" w:hAnsi="Courier New" w:cs="Courier New"/>
          <w:sz w:val="24"/>
          <w:szCs w:val="20"/>
        </w:rPr>
        <w:t>7</w:t>
      </w:r>
      <w:r w:rsidR="0081584E">
        <w:rPr>
          <w:rFonts w:ascii="Courier New" w:hAnsi="Courier New" w:cs="Courier New"/>
          <w:sz w:val="24"/>
          <w:szCs w:val="20"/>
        </w:rPr>
        <w:t>6</w:t>
      </w:r>
      <w:r w:rsidR="006A1B1F">
        <w:rPr>
          <w:rFonts w:ascii="Courier New" w:hAnsi="Courier New" w:cs="Courier New"/>
          <w:sz w:val="24"/>
          <w:szCs w:val="20"/>
        </w:rPr>
        <w:t xml:space="preserve"> percent of normal last year. </w:t>
      </w:r>
    </w:p>
    <w:bookmarkEnd w:id="2"/>
    <w:bookmarkEnd w:id="3"/>
    <w:p w14:paraId="1FE47DAF" w14:textId="04FD430C" w:rsidR="00B60FC2" w:rsidRPr="004669EC" w:rsidRDefault="00B60FC2" w:rsidP="00B60FC2">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Q.</w:t>
      </w:r>
      <w:r>
        <w:rPr>
          <w:rFonts w:ascii="Courier New" w:hAnsi="Courier New" w:cs="Courier New"/>
        </w:rPr>
        <w:tab/>
      </w:r>
      <w:r w:rsidRPr="004669EC">
        <w:rPr>
          <w:rFonts w:ascii="Courier New" w:hAnsi="Courier New" w:cs="Courier New"/>
        </w:rPr>
        <w:t xml:space="preserve">How are the forecasted NPSE differences presented in Table </w:t>
      </w:r>
      <w:r w:rsidR="002A00B5">
        <w:rPr>
          <w:rFonts w:ascii="Courier New" w:hAnsi="Courier New" w:cs="Courier New"/>
        </w:rPr>
        <w:t>2</w:t>
      </w:r>
      <w:r w:rsidRPr="004669EC">
        <w:rPr>
          <w:rFonts w:ascii="Courier New" w:hAnsi="Courier New" w:cs="Courier New"/>
        </w:rPr>
        <w:t xml:space="preserve"> used to determine the </w:t>
      </w:r>
      <w:r w:rsidR="00202300">
        <w:rPr>
          <w:rFonts w:ascii="Courier New" w:hAnsi="Courier New" w:cs="Courier New"/>
        </w:rPr>
        <w:t>2023</w:t>
      </w:r>
      <w:r>
        <w:rPr>
          <w:rFonts w:ascii="Courier New" w:hAnsi="Courier New" w:cs="Courier New"/>
        </w:rPr>
        <w:t>-</w:t>
      </w:r>
      <w:r w:rsidR="00202300">
        <w:rPr>
          <w:rFonts w:ascii="Courier New" w:hAnsi="Courier New" w:cs="Courier New"/>
        </w:rPr>
        <w:t>2024</w:t>
      </w:r>
      <w:r w:rsidRPr="004669EC">
        <w:rPr>
          <w:rFonts w:ascii="Courier New" w:hAnsi="Courier New" w:cs="Courier New"/>
        </w:rPr>
        <w:t xml:space="preserve"> PCA forecast component to be collected from Idaho customers?</w:t>
      </w:r>
    </w:p>
    <w:p w14:paraId="1BB67213" w14:textId="00B119EB" w:rsidR="00B60FC2" w:rsidRDefault="00B60FC2" w:rsidP="00B60FC2">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A.</w:t>
      </w:r>
      <w:r>
        <w:rPr>
          <w:rFonts w:ascii="Courier New" w:hAnsi="Courier New" w:cs="Courier New"/>
        </w:rPr>
        <w:tab/>
      </w:r>
      <w:r w:rsidRPr="004669EC">
        <w:rPr>
          <w:rFonts w:ascii="Courier New" w:hAnsi="Courier New" w:cs="Courier New"/>
        </w:rPr>
        <w:t xml:space="preserve">The </w:t>
      </w:r>
      <w:r w:rsidR="00202300">
        <w:rPr>
          <w:rFonts w:ascii="Courier New" w:hAnsi="Courier New" w:cs="Courier New"/>
        </w:rPr>
        <w:t>2023</w:t>
      </w:r>
      <w:r>
        <w:rPr>
          <w:rFonts w:ascii="Courier New" w:hAnsi="Courier New" w:cs="Courier New"/>
        </w:rPr>
        <w:t>-</w:t>
      </w:r>
      <w:r w:rsidR="00202300">
        <w:rPr>
          <w:rFonts w:ascii="Courier New" w:hAnsi="Courier New" w:cs="Courier New"/>
        </w:rPr>
        <w:t>2024</w:t>
      </w:r>
      <w:r w:rsidRPr="004669EC">
        <w:rPr>
          <w:rFonts w:ascii="Courier New" w:hAnsi="Courier New" w:cs="Courier New"/>
        </w:rPr>
        <w:t xml:space="preserve"> PCA forecast component reflects the Idaho jurisdictional share of the forecasted NPSE differences presented in Table </w:t>
      </w:r>
      <w:r w:rsidR="002A00B5">
        <w:rPr>
          <w:rFonts w:ascii="Courier New" w:hAnsi="Courier New" w:cs="Courier New"/>
        </w:rPr>
        <w:t>2</w:t>
      </w:r>
      <w:r w:rsidRPr="004669EC">
        <w:rPr>
          <w:rFonts w:ascii="Courier New" w:hAnsi="Courier New" w:cs="Courier New"/>
        </w:rPr>
        <w:t>, adjusted for the PCA sharing provisions.  The Idaho jurisdictional share of the forecast NPSE differences is determined by applying a ratio of forecast firm Idaho jurisdictional sales to forecast</w:t>
      </w:r>
      <w:r>
        <w:rPr>
          <w:rFonts w:ascii="Courier New" w:hAnsi="Courier New" w:cs="Courier New"/>
        </w:rPr>
        <w:t xml:space="preserve"> </w:t>
      </w:r>
      <w:r w:rsidRPr="004669EC">
        <w:rPr>
          <w:rFonts w:ascii="Courier New" w:hAnsi="Courier New" w:cs="Courier New"/>
        </w:rPr>
        <w:t>firm system-level sales to the system-level NPSE differences.</w:t>
      </w:r>
    </w:p>
    <w:p w14:paraId="306265BF" w14:textId="36DB8D1D" w:rsidR="001B1778" w:rsidRPr="004669EC" w:rsidRDefault="001B1778" w:rsidP="001B1778">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Q.</w:t>
      </w:r>
      <w:r>
        <w:rPr>
          <w:rFonts w:ascii="Courier New" w:hAnsi="Courier New" w:cs="Courier New"/>
        </w:rPr>
        <w:tab/>
        <w:t xml:space="preserve">Were any changes made to </w:t>
      </w:r>
      <w:r w:rsidR="006A1B1F">
        <w:rPr>
          <w:rFonts w:ascii="Courier New" w:hAnsi="Courier New" w:cs="Courier New"/>
        </w:rPr>
        <w:t>the</w:t>
      </w:r>
      <w:r>
        <w:rPr>
          <w:rFonts w:ascii="Courier New" w:hAnsi="Courier New" w:cs="Courier New"/>
        </w:rPr>
        <w:t xml:space="preserve"> Idaho jurisdictional sales and system-level sales</w:t>
      </w:r>
      <w:r w:rsidR="006A1B1F">
        <w:rPr>
          <w:rFonts w:ascii="Courier New" w:hAnsi="Courier New" w:cs="Courier New"/>
        </w:rPr>
        <w:t xml:space="preserve"> to account for the portion of Micron’s load met by Black Mesa Solar?</w:t>
      </w:r>
    </w:p>
    <w:p w14:paraId="253BF92E" w14:textId="47BC1EB8" w:rsidR="001B1778" w:rsidRPr="004669EC" w:rsidRDefault="001B1778" w:rsidP="001B1778">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A.</w:t>
      </w:r>
      <w:r>
        <w:rPr>
          <w:rFonts w:ascii="Courier New" w:hAnsi="Courier New" w:cs="Courier New"/>
        </w:rPr>
        <w:tab/>
        <w:t xml:space="preserve">Yes. </w:t>
      </w:r>
      <w:r w:rsidR="00175DA0">
        <w:rPr>
          <w:rFonts w:ascii="Courier New" w:hAnsi="Courier New" w:cs="Courier New"/>
        </w:rPr>
        <w:t xml:space="preserve">The portion of Micron’s load </w:t>
      </w:r>
      <w:r w:rsidR="005F4002">
        <w:rPr>
          <w:rFonts w:ascii="Courier New" w:hAnsi="Courier New" w:cs="Courier New"/>
        </w:rPr>
        <w:t xml:space="preserve">forecast to be </w:t>
      </w:r>
      <w:r w:rsidR="00175DA0">
        <w:rPr>
          <w:rFonts w:ascii="Courier New" w:hAnsi="Courier New" w:cs="Courier New"/>
        </w:rPr>
        <w:t xml:space="preserve">met by Black Mesa Solar was removed from the total forecast Idaho jurisdictional sales and system-level sales and was not used in the derivation of the PCA </w:t>
      </w:r>
      <w:r w:rsidR="003F0F39">
        <w:rPr>
          <w:rFonts w:ascii="Courier New" w:hAnsi="Courier New" w:cs="Courier New"/>
        </w:rPr>
        <w:t>r</w:t>
      </w:r>
      <w:r w:rsidR="00175DA0">
        <w:rPr>
          <w:rFonts w:ascii="Courier New" w:hAnsi="Courier New" w:cs="Courier New"/>
        </w:rPr>
        <w:t xml:space="preserve">ate. </w:t>
      </w:r>
    </w:p>
    <w:p w14:paraId="625026DA" w14:textId="77777777" w:rsidR="001A1B8A" w:rsidRDefault="00B60FC2" w:rsidP="00B60FC2">
      <w:pPr>
        <w:pStyle w:val="Testimony"/>
        <w:widowControl/>
        <w:tabs>
          <w:tab w:val="clear" w:pos="2160"/>
          <w:tab w:val="left" w:pos="1980"/>
        </w:tabs>
        <w:spacing w:line="456" w:lineRule="auto"/>
        <w:rPr>
          <w:rFonts w:ascii="Courier New" w:hAnsi="Courier New" w:cs="Courier New"/>
        </w:rPr>
        <w:sectPr w:rsidR="001A1B8A" w:rsidSect="001A1B8A">
          <w:footerReference w:type="default" r:id="rId17"/>
          <w:pgSz w:w="12240" w:h="15840" w:code="1"/>
          <w:pgMar w:top="1440" w:right="1440" w:bottom="1440" w:left="2160" w:header="720" w:footer="720" w:gutter="0"/>
          <w:lnNumType w:countBy="1"/>
          <w:pgNumType w:start="7"/>
          <w:cols w:space="720"/>
          <w:noEndnote/>
        </w:sectPr>
      </w:pPr>
      <w:r>
        <w:rPr>
          <w:rFonts w:ascii="Courier New" w:hAnsi="Courier New" w:cs="Courier New"/>
        </w:rPr>
        <w:t>Q.</w:t>
      </w:r>
      <w:r>
        <w:rPr>
          <w:rFonts w:ascii="Courier New" w:hAnsi="Courier New" w:cs="Courier New"/>
        </w:rPr>
        <w:tab/>
      </w:r>
      <w:r w:rsidRPr="004669EC">
        <w:rPr>
          <w:rFonts w:ascii="Courier New" w:hAnsi="Courier New" w:cs="Courier New"/>
        </w:rPr>
        <w:t>What is the Company’s forecast of system-level firm sales and Idaho jurisdictional firm sales</w:t>
      </w:r>
      <w:r w:rsidR="00175DA0">
        <w:rPr>
          <w:rFonts w:ascii="Courier New" w:hAnsi="Courier New" w:cs="Courier New"/>
        </w:rPr>
        <w:t xml:space="preserve">, net of the </w:t>
      </w:r>
    </w:p>
    <w:p w14:paraId="41431207" w14:textId="522591A1" w:rsidR="00B60FC2" w:rsidRPr="004669EC" w:rsidRDefault="00175DA0" w:rsidP="001A1B8A">
      <w:pPr>
        <w:pStyle w:val="Testimony"/>
        <w:widowControl/>
        <w:tabs>
          <w:tab w:val="clear" w:pos="2160"/>
          <w:tab w:val="left" w:pos="1980"/>
        </w:tabs>
        <w:spacing w:line="456" w:lineRule="auto"/>
        <w:ind w:firstLine="0"/>
        <w:rPr>
          <w:rFonts w:ascii="Courier New" w:hAnsi="Courier New" w:cs="Courier New"/>
        </w:rPr>
      </w:pPr>
      <w:r>
        <w:rPr>
          <w:rFonts w:ascii="Courier New" w:hAnsi="Courier New" w:cs="Courier New"/>
        </w:rPr>
        <w:lastRenderedPageBreak/>
        <w:t>portion of Micron’s load met by Black Mesa Solar,</w:t>
      </w:r>
      <w:r w:rsidR="00B60FC2" w:rsidRPr="004669EC">
        <w:rPr>
          <w:rFonts w:ascii="Courier New" w:hAnsi="Courier New" w:cs="Courier New"/>
        </w:rPr>
        <w:t xml:space="preserve"> for the </w:t>
      </w:r>
      <w:r w:rsidR="00202300">
        <w:rPr>
          <w:rFonts w:ascii="Courier New" w:hAnsi="Courier New" w:cs="Courier New"/>
        </w:rPr>
        <w:t>2023</w:t>
      </w:r>
      <w:r w:rsidR="00B60FC2">
        <w:rPr>
          <w:rFonts w:ascii="Courier New" w:hAnsi="Courier New" w:cs="Courier New"/>
        </w:rPr>
        <w:t>-</w:t>
      </w:r>
      <w:r w:rsidR="00202300">
        <w:rPr>
          <w:rFonts w:ascii="Courier New" w:hAnsi="Courier New" w:cs="Courier New"/>
        </w:rPr>
        <w:t>2024</w:t>
      </w:r>
      <w:r w:rsidR="00B60FC2" w:rsidRPr="004669EC">
        <w:rPr>
          <w:rFonts w:ascii="Courier New" w:hAnsi="Courier New" w:cs="Courier New"/>
        </w:rPr>
        <w:t xml:space="preserve"> PCA Year?</w:t>
      </w:r>
    </w:p>
    <w:p w14:paraId="45176930" w14:textId="5DE4F7BE" w:rsidR="00B60FC2" w:rsidRDefault="00B60FC2" w:rsidP="00B60FC2">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A.</w:t>
      </w:r>
      <w:r>
        <w:rPr>
          <w:rFonts w:ascii="Courier New" w:hAnsi="Courier New" w:cs="Courier New"/>
        </w:rPr>
        <w:tab/>
      </w:r>
      <w:r w:rsidRPr="004669EC">
        <w:rPr>
          <w:rFonts w:ascii="Courier New" w:hAnsi="Courier New" w:cs="Courier New"/>
        </w:rPr>
        <w:t xml:space="preserve">For the </w:t>
      </w:r>
      <w:r w:rsidR="00202300">
        <w:rPr>
          <w:rFonts w:ascii="Courier New" w:hAnsi="Courier New" w:cs="Courier New"/>
        </w:rPr>
        <w:t>2023</w:t>
      </w:r>
      <w:r w:rsidRPr="004669EC">
        <w:rPr>
          <w:rFonts w:ascii="Courier New" w:hAnsi="Courier New" w:cs="Courier New"/>
        </w:rPr>
        <w:t>-</w:t>
      </w:r>
      <w:r w:rsidR="00202300">
        <w:rPr>
          <w:rFonts w:ascii="Courier New" w:hAnsi="Courier New" w:cs="Courier New"/>
        </w:rPr>
        <w:t>2024</w:t>
      </w:r>
      <w:r w:rsidRPr="004669EC">
        <w:rPr>
          <w:rFonts w:ascii="Courier New" w:hAnsi="Courier New" w:cs="Courier New"/>
        </w:rPr>
        <w:t xml:space="preserve"> PCA Year, Idaho Power has forecast system-level firm sales to be </w:t>
      </w:r>
      <w:r w:rsidR="004D67C3">
        <w:rPr>
          <w:rFonts w:ascii="Courier New" w:hAnsi="Courier New" w:cs="Courier New"/>
        </w:rPr>
        <w:t>15,</w:t>
      </w:r>
      <w:r w:rsidR="00A34135">
        <w:rPr>
          <w:rFonts w:ascii="Courier New" w:hAnsi="Courier New" w:cs="Courier New"/>
        </w:rPr>
        <w:t>6</w:t>
      </w:r>
      <w:r w:rsidR="00090EE7">
        <w:rPr>
          <w:rFonts w:ascii="Courier New" w:hAnsi="Courier New" w:cs="Courier New"/>
        </w:rPr>
        <w:t>62</w:t>
      </w:r>
      <w:r w:rsidR="004D67C3">
        <w:rPr>
          <w:rFonts w:ascii="Courier New" w:hAnsi="Courier New" w:cs="Courier New"/>
        </w:rPr>
        <w:t>,</w:t>
      </w:r>
      <w:r w:rsidR="00090EE7">
        <w:rPr>
          <w:rFonts w:ascii="Courier New" w:hAnsi="Courier New" w:cs="Courier New"/>
        </w:rPr>
        <w:t>267</w:t>
      </w:r>
      <w:r w:rsidRPr="004669EC">
        <w:rPr>
          <w:rFonts w:ascii="Courier New" w:hAnsi="Courier New" w:cs="Courier New"/>
        </w:rPr>
        <w:t xml:space="preserve"> MWh and Idaho jurisdictional firm sales to be </w:t>
      </w:r>
      <w:r>
        <w:rPr>
          <w:rFonts w:ascii="Courier New" w:hAnsi="Courier New" w:cs="Courier New"/>
        </w:rPr>
        <w:t>14,</w:t>
      </w:r>
      <w:r w:rsidR="00A34135">
        <w:rPr>
          <w:rFonts w:ascii="Courier New" w:hAnsi="Courier New" w:cs="Courier New"/>
        </w:rPr>
        <w:t>9</w:t>
      </w:r>
      <w:r w:rsidR="00090EE7">
        <w:rPr>
          <w:rFonts w:ascii="Courier New" w:hAnsi="Courier New" w:cs="Courier New"/>
        </w:rPr>
        <w:t>60,556</w:t>
      </w:r>
      <w:r w:rsidRPr="004669EC">
        <w:rPr>
          <w:rFonts w:ascii="Courier New" w:hAnsi="Courier New" w:cs="Courier New"/>
        </w:rPr>
        <w:t xml:space="preserve"> MWh, or </w:t>
      </w:r>
      <w:r>
        <w:rPr>
          <w:rFonts w:ascii="Courier New" w:hAnsi="Courier New" w:cs="Courier New"/>
        </w:rPr>
        <w:t>95.</w:t>
      </w:r>
      <w:r w:rsidR="00A34135">
        <w:rPr>
          <w:rFonts w:ascii="Courier New" w:hAnsi="Courier New" w:cs="Courier New"/>
        </w:rPr>
        <w:t>5</w:t>
      </w:r>
      <w:r w:rsidR="00E11049">
        <w:rPr>
          <w:rFonts w:ascii="Courier New" w:hAnsi="Courier New" w:cs="Courier New"/>
        </w:rPr>
        <w:t>2</w:t>
      </w:r>
      <w:r w:rsidRPr="004669EC">
        <w:rPr>
          <w:rFonts w:ascii="Courier New" w:hAnsi="Courier New" w:cs="Courier New"/>
        </w:rPr>
        <w:t xml:space="preserve"> percent of the system level.</w:t>
      </w:r>
    </w:p>
    <w:p w14:paraId="2E2B3DB1" w14:textId="415876FE" w:rsidR="00B60FC2" w:rsidRDefault="00B60FC2" w:rsidP="00B60FC2">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Q.</w:t>
      </w:r>
      <w:r>
        <w:rPr>
          <w:rFonts w:ascii="Courier New" w:hAnsi="Courier New" w:cs="Courier New"/>
        </w:rPr>
        <w:tab/>
      </w:r>
      <w:r w:rsidRPr="004669EC">
        <w:rPr>
          <w:rFonts w:ascii="Courier New" w:hAnsi="Courier New" w:cs="Courier New"/>
        </w:rPr>
        <w:t xml:space="preserve">What is the Company’s determination of the </w:t>
      </w:r>
      <w:r w:rsidR="00202300">
        <w:rPr>
          <w:rFonts w:ascii="Courier New" w:hAnsi="Courier New" w:cs="Courier New"/>
        </w:rPr>
        <w:t>2023</w:t>
      </w:r>
      <w:r>
        <w:rPr>
          <w:rFonts w:ascii="Courier New" w:hAnsi="Courier New" w:cs="Courier New"/>
        </w:rPr>
        <w:t>-</w:t>
      </w:r>
      <w:r w:rsidR="00202300">
        <w:rPr>
          <w:rFonts w:ascii="Courier New" w:hAnsi="Courier New" w:cs="Courier New"/>
        </w:rPr>
        <w:t>2024</w:t>
      </w:r>
      <w:r w:rsidRPr="004669EC">
        <w:rPr>
          <w:rFonts w:ascii="Courier New" w:hAnsi="Courier New" w:cs="Courier New"/>
        </w:rPr>
        <w:t xml:space="preserve"> PCA forecast component to be collected from Idaho customers?</w:t>
      </w:r>
    </w:p>
    <w:p w14:paraId="4BEA6E51" w14:textId="1D73FC4A" w:rsidR="00B60FC2" w:rsidRDefault="00B60FC2" w:rsidP="00B60FC2">
      <w:pPr>
        <w:pStyle w:val="Testimony"/>
        <w:tabs>
          <w:tab w:val="clear" w:pos="2160"/>
          <w:tab w:val="left" w:pos="1980"/>
        </w:tabs>
        <w:spacing w:line="456" w:lineRule="auto"/>
        <w:rPr>
          <w:rFonts w:ascii="Courier New" w:hAnsi="Courier New" w:cs="Courier New"/>
        </w:rPr>
      </w:pPr>
      <w:r>
        <w:rPr>
          <w:rFonts w:ascii="Courier New" w:hAnsi="Courier New" w:cs="Courier New"/>
        </w:rPr>
        <w:t>A.</w:t>
      </w:r>
      <w:r>
        <w:rPr>
          <w:rFonts w:ascii="Courier New" w:hAnsi="Courier New" w:cs="Courier New"/>
        </w:rPr>
        <w:tab/>
      </w:r>
      <w:r w:rsidRPr="004669EC">
        <w:rPr>
          <w:rFonts w:ascii="Courier New" w:hAnsi="Courier New" w:cs="Courier New"/>
        </w:rPr>
        <w:t xml:space="preserve">The </w:t>
      </w:r>
      <w:r w:rsidR="00202300">
        <w:rPr>
          <w:rFonts w:ascii="Courier New" w:hAnsi="Courier New" w:cs="Courier New"/>
        </w:rPr>
        <w:t>2023</w:t>
      </w:r>
      <w:r>
        <w:rPr>
          <w:rFonts w:ascii="Courier New" w:hAnsi="Courier New" w:cs="Courier New"/>
        </w:rPr>
        <w:t>-</w:t>
      </w:r>
      <w:r w:rsidR="00202300">
        <w:rPr>
          <w:rFonts w:ascii="Courier New" w:hAnsi="Courier New" w:cs="Courier New"/>
        </w:rPr>
        <w:t>2024</w:t>
      </w:r>
      <w:r w:rsidRPr="004669EC">
        <w:rPr>
          <w:rFonts w:ascii="Courier New" w:hAnsi="Courier New" w:cs="Courier New"/>
        </w:rPr>
        <w:t xml:space="preserve"> PCA forecast component to be collected from Idaho customers is $</w:t>
      </w:r>
      <w:r w:rsidR="008D2287">
        <w:rPr>
          <w:rFonts w:ascii="Courier New" w:hAnsi="Courier New" w:cs="Courier New"/>
        </w:rPr>
        <w:t>218,0</w:t>
      </w:r>
      <w:r w:rsidR="005F4002">
        <w:rPr>
          <w:rFonts w:ascii="Courier New" w:hAnsi="Courier New" w:cs="Courier New"/>
        </w:rPr>
        <w:t>0</w:t>
      </w:r>
      <w:r w:rsidR="0081584E">
        <w:rPr>
          <w:rFonts w:ascii="Courier New" w:hAnsi="Courier New" w:cs="Courier New"/>
        </w:rPr>
        <w:t>6</w:t>
      </w:r>
      <w:r w:rsidR="008D2287">
        <w:rPr>
          <w:rFonts w:ascii="Courier New" w:hAnsi="Courier New" w:cs="Courier New"/>
        </w:rPr>
        <w:t>,</w:t>
      </w:r>
      <w:r w:rsidR="0081584E">
        <w:rPr>
          <w:rFonts w:ascii="Courier New" w:hAnsi="Courier New" w:cs="Courier New"/>
        </w:rPr>
        <w:t>526</w:t>
      </w:r>
      <w:r w:rsidRPr="004669EC">
        <w:rPr>
          <w:rFonts w:ascii="Courier New" w:hAnsi="Courier New" w:cs="Courier New"/>
        </w:rPr>
        <w:t xml:space="preserve">.  Table </w:t>
      </w:r>
      <w:r w:rsidR="002A00B5">
        <w:rPr>
          <w:rFonts w:ascii="Courier New" w:hAnsi="Courier New" w:cs="Courier New"/>
        </w:rPr>
        <w:t>5</w:t>
      </w:r>
      <w:r w:rsidRPr="004669EC">
        <w:rPr>
          <w:rFonts w:ascii="Courier New" w:hAnsi="Courier New" w:cs="Courier New"/>
        </w:rPr>
        <w:t xml:space="preserve"> presents the determination of the </w:t>
      </w:r>
      <w:r w:rsidR="00202300">
        <w:rPr>
          <w:rFonts w:ascii="Courier New" w:hAnsi="Courier New" w:cs="Courier New"/>
        </w:rPr>
        <w:t>2023</w:t>
      </w:r>
      <w:r>
        <w:rPr>
          <w:rFonts w:ascii="Courier New" w:hAnsi="Courier New" w:cs="Courier New"/>
        </w:rPr>
        <w:t>-</w:t>
      </w:r>
      <w:r w:rsidR="00202300">
        <w:rPr>
          <w:rFonts w:ascii="Courier New" w:hAnsi="Courier New" w:cs="Courier New"/>
        </w:rPr>
        <w:t>2024</w:t>
      </w:r>
      <w:r w:rsidRPr="004669EC">
        <w:rPr>
          <w:rFonts w:ascii="Courier New" w:hAnsi="Courier New" w:cs="Courier New"/>
        </w:rPr>
        <w:t xml:space="preserve"> PCA forecast component by individual PCA expense and revenue category.</w:t>
      </w:r>
    </w:p>
    <w:p w14:paraId="7B96EA0C" w14:textId="77777777" w:rsidR="00A34135" w:rsidRPr="00B67C8D" w:rsidRDefault="003C34F6" w:rsidP="00450403">
      <w:pPr>
        <w:pStyle w:val="TxBrp2"/>
        <w:widowControl/>
        <w:tabs>
          <w:tab w:val="clear" w:pos="788"/>
          <w:tab w:val="left" w:pos="1980"/>
        </w:tabs>
        <w:spacing w:line="456" w:lineRule="auto"/>
        <w:ind w:hanging="181"/>
        <w:rPr>
          <w:rFonts w:ascii="Courier New" w:hAnsi="Courier New" w:cs="Courier New"/>
          <w:sz w:val="24"/>
        </w:rPr>
      </w:pPr>
      <w:r w:rsidRPr="00022A04">
        <w:rPr>
          <w:rFonts w:ascii="Courier New" w:hAnsi="Courier New" w:cs="Courier New"/>
        </w:rPr>
        <w:t xml:space="preserve"> </w:t>
      </w:r>
    </w:p>
    <w:tbl>
      <w:tblPr>
        <w:tblW w:w="9641" w:type="dxa"/>
        <w:jc w:val="center"/>
        <w:tblLook w:val="04A0" w:firstRow="1" w:lastRow="0" w:firstColumn="1" w:lastColumn="0" w:noHBand="0" w:noVBand="1"/>
      </w:tblPr>
      <w:tblGrid>
        <w:gridCol w:w="840"/>
        <w:gridCol w:w="3548"/>
        <w:gridCol w:w="1825"/>
        <w:gridCol w:w="1714"/>
        <w:gridCol w:w="1714"/>
      </w:tblGrid>
      <w:tr w:rsidR="00B32F81" w:rsidRPr="00B32F81" w14:paraId="499172DC" w14:textId="77777777" w:rsidTr="00450403">
        <w:trPr>
          <w:trHeight w:val="30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DB948" w14:textId="77777777" w:rsidR="00B32F81" w:rsidRPr="00B32F81" w:rsidRDefault="00B32F81" w:rsidP="00B32F81">
            <w:pPr>
              <w:jc w:val="center"/>
              <w:rPr>
                <w:rFonts w:ascii="Calibri" w:hAnsi="Calibri" w:cs="Calibri"/>
                <w:b/>
                <w:bCs/>
                <w:color w:val="000000"/>
                <w:sz w:val="18"/>
                <w:szCs w:val="18"/>
              </w:rPr>
            </w:pPr>
            <w:r w:rsidRPr="00B32F81">
              <w:rPr>
                <w:rFonts w:ascii="Calibri" w:hAnsi="Calibri" w:cs="Calibri"/>
                <w:b/>
                <w:bCs/>
                <w:color w:val="000000"/>
                <w:sz w:val="18"/>
                <w:szCs w:val="18"/>
              </w:rPr>
              <w:t>Table 5</w:t>
            </w:r>
          </w:p>
        </w:tc>
        <w:tc>
          <w:tcPr>
            <w:tcW w:w="8801"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8D9E0CA" w14:textId="2D37A572" w:rsidR="00B32F81" w:rsidRPr="00B32F81" w:rsidRDefault="00202300" w:rsidP="00B32F81">
            <w:pPr>
              <w:jc w:val="center"/>
              <w:rPr>
                <w:rFonts w:ascii="Calibri" w:hAnsi="Calibri" w:cs="Calibri"/>
                <w:b/>
                <w:bCs/>
                <w:color w:val="000000"/>
                <w:sz w:val="18"/>
                <w:szCs w:val="18"/>
              </w:rPr>
            </w:pPr>
            <w:r>
              <w:rPr>
                <w:rFonts w:ascii="Calibri" w:hAnsi="Calibri" w:cs="Calibri"/>
                <w:b/>
                <w:bCs/>
                <w:color w:val="000000"/>
                <w:sz w:val="18"/>
                <w:szCs w:val="18"/>
              </w:rPr>
              <w:t>2023</w:t>
            </w:r>
            <w:r w:rsidR="00B32F81" w:rsidRPr="00B32F81">
              <w:rPr>
                <w:rFonts w:ascii="Calibri" w:hAnsi="Calibri" w:cs="Calibri"/>
                <w:b/>
                <w:bCs/>
                <w:color w:val="000000"/>
                <w:sz w:val="18"/>
                <w:szCs w:val="18"/>
              </w:rPr>
              <w:t>-</w:t>
            </w:r>
            <w:r>
              <w:rPr>
                <w:rFonts w:ascii="Calibri" w:hAnsi="Calibri" w:cs="Calibri"/>
                <w:b/>
                <w:bCs/>
                <w:color w:val="000000"/>
                <w:sz w:val="18"/>
                <w:szCs w:val="18"/>
              </w:rPr>
              <w:t>2024</w:t>
            </w:r>
            <w:r w:rsidR="00B32F81" w:rsidRPr="00B32F81">
              <w:rPr>
                <w:rFonts w:ascii="Calibri" w:hAnsi="Calibri" w:cs="Calibri"/>
                <w:b/>
                <w:bCs/>
                <w:color w:val="000000"/>
                <w:sz w:val="18"/>
                <w:szCs w:val="18"/>
              </w:rPr>
              <w:t xml:space="preserve"> PCA FORECAST</w:t>
            </w:r>
          </w:p>
        </w:tc>
      </w:tr>
      <w:tr w:rsidR="00B32F81" w:rsidRPr="00B32F81" w14:paraId="30EA5538" w14:textId="77777777" w:rsidTr="00450403">
        <w:trPr>
          <w:trHeight w:val="300"/>
          <w:jc w:val="center"/>
        </w:trPr>
        <w:tc>
          <w:tcPr>
            <w:tcW w:w="840" w:type="dxa"/>
            <w:tcBorders>
              <w:top w:val="nil"/>
              <w:left w:val="single" w:sz="4" w:space="0" w:color="auto"/>
              <w:bottom w:val="nil"/>
              <w:right w:val="single" w:sz="4" w:space="0" w:color="auto"/>
            </w:tcBorders>
            <w:shd w:val="clear" w:color="auto" w:fill="auto"/>
            <w:noWrap/>
            <w:vAlign w:val="bottom"/>
            <w:hideMark/>
          </w:tcPr>
          <w:p w14:paraId="6BF034B7" w14:textId="77777777" w:rsidR="00B32F81" w:rsidRPr="00B32F81" w:rsidRDefault="00B32F81" w:rsidP="00B32F81">
            <w:pPr>
              <w:rPr>
                <w:rFonts w:ascii="Calibri" w:hAnsi="Calibri" w:cs="Calibri"/>
                <w:color w:val="000000"/>
                <w:sz w:val="18"/>
                <w:szCs w:val="18"/>
              </w:rPr>
            </w:pPr>
            <w:r w:rsidRPr="00B32F81">
              <w:rPr>
                <w:rFonts w:ascii="Calibri" w:hAnsi="Calibri" w:cs="Calibri"/>
                <w:color w:val="000000"/>
                <w:sz w:val="18"/>
                <w:szCs w:val="18"/>
              </w:rPr>
              <w:t> </w:t>
            </w:r>
          </w:p>
        </w:tc>
        <w:tc>
          <w:tcPr>
            <w:tcW w:w="3548" w:type="dxa"/>
            <w:tcBorders>
              <w:top w:val="nil"/>
              <w:left w:val="nil"/>
              <w:bottom w:val="nil"/>
              <w:right w:val="nil"/>
            </w:tcBorders>
            <w:shd w:val="clear" w:color="auto" w:fill="auto"/>
            <w:noWrap/>
            <w:vAlign w:val="bottom"/>
            <w:hideMark/>
          </w:tcPr>
          <w:p w14:paraId="792345AA" w14:textId="77777777" w:rsidR="00B32F81" w:rsidRPr="00B32F81" w:rsidRDefault="00B32F81" w:rsidP="00B32F81">
            <w:pPr>
              <w:rPr>
                <w:rFonts w:ascii="Calibri" w:hAnsi="Calibri" w:cs="Calibri"/>
                <w:color w:val="000000"/>
                <w:sz w:val="18"/>
                <w:szCs w:val="18"/>
              </w:rPr>
            </w:pPr>
            <w:r w:rsidRPr="00B32F81">
              <w:rPr>
                <w:rFonts w:ascii="Calibri" w:hAnsi="Calibri" w:cs="Calibri"/>
                <w:color w:val="000000"/>
                <w:sz w:val="18"/>
                <w:szCs w:val="18"/>
              </w:rPr>
              <w:t> </w:t>
            </w:r>
          </w:p>
        </w:tc>
        <w:tc>
          <w:tcPr>
            <w:tcW w:w="1825" w:type="dxa"/>
            <w:tcBorders>
              <w:top w:val="nil"/>
              <w:left w:val="nil"/>
              <w:bottom w:val="nil"/>
              <w:right w:val="nil"/>
            </w:tcBorders>
            <w:shd w:val="clear" w:color="auto" w:fill="auto"/>
            <w:noWrap/>
            <w:vAlign w:val="bottom"/>
            <w:hideMark/>
          </w:tcPr>
          <w:p w14:paraId="59348E41" w14:textId="77777777" w:rsidR="00B32F81" w:rsidRPr="00B32F81" w:rsidRDefault="00B32F81" w:rsidP="00B32F81">
            <w:pPr>
              <w:rPr>
                <w:rFonts w:ascii="Calibri" w:hAnsi="Calibri" w:cs="Calibri"/>
                <w:color w:val="000000"/>
                <w:sz w:val="18"/>
                <w:szCs w:val="18"/>
              </w:rPr>
            </w:pPr>
          </w:p>
        </w:tc>
        <w:tc>
          <w:tcPr>
            <w:tcW w:w="1714" w:type="dxa"/>
            <w:tcBorders>
              <w:top w:val="nil"/>
              <w:left w:val="nil"/>
              <w:bottom w:val="nil"/>
              <w:right w:val="nil"/>
            </w:tcBorders>
            <w:shd w:val="clear" w:color="auto" w:fill="auto"/>
            <w:noWrap/>
            <w:vAlign w:val="bottom"/>
            <w:hideMark/>
          </w:tcPr>
          <w:p w14:paraId="50424B6C" w14:textId="77777777" w:rsidR="00B32F81" w:rsidRPr="00B32F81" w:rsidRDefault="00B32F81" w:rsidP="00B32F81">
            <w:pPr>
              <w:rPr>
                <w:rFonts w:ascii="Times New Roman" w:hAnsi="Times New Roman"/>
                <w:sz w:val="20"/>
              </w:rPr>
            </w:pPr>
          </w:p>
        </w:tc>
        <w:tc>
          <w:tcPr>
            <w:tcW w:w="1714" w:type="dxa"/>
            <w:tcBorders>
              <w:top w:val="nil"/>
              <w:left w:val="nil"/>
              <w:bottom w:val="nil"/>
              <w:right w:val="single" w:sz="4" w:space="0" w:color="auto"/>
            </w:tcBorders>
            <w:shd w:val="clear" w:color="auto" w:fill="auto"/>
            <w:noWrap/>
            <w:vAlign w:val="bottom"/>
            <w:hideMark/>
          </w:tcPr>
          <w:p w14:paraId="1A545916" w14:textId="77777777" w:rsidR="00B32F81" w:rsidRPr="00B32F81" w:rsidRDefault="00B32F81" w:rsidP="00B32F81">
            <w:pPr>
              <w:rPr>
                <w:rFonts w:ascii="Calibri" w:hAnsi="Calibri" w:cs="Calibri"/>
                <w:color w:val="000000"/>
                <w:sz w:val="18"/>
                <w:szCs w:val="18"/>
              </w:rPr>
            </w:pPr>
            <w:r w:rsidRPr="00B32F81">
              <w:rPr>
                <w:rFonts w:ascii="Calibri" w:hAnsi="Calibri" w:cs="Calibri"/>
                <w:color w:val="000000"/>
                <w:sz w:val="18"/>
                <w:szCs w:val="18"/>
              </w:rPr>
              <w:t> </w:t>
            </w:r>
          </w:p>
        </w:tc>
      </w:tr>
      <w:tr w:rsidR="00B32F81" w:rsidRPr="00B32F81" w14:paraId="287E4983" w14:textId="77777777" w:rsidTr="00450403">
        <w:trPr>
          <w:trHeight w:val="49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28D40FF9" w14:textId="77777777" w:rsidR="00B32F81" w:rsidRPr="00B32F81" w:rsidRDefault="00B32F81" w:rsidP="00B32F81">
            <w:pPr>
              <w:jc w:val="center"/>
              <w:rPr>
                <w:rFonts w:ascii="Calibri" w:hAnsi="Calibri" w:cs="Calibri"/>
                <w:b/>
                <w:bCs/>
                <w:color w:val="000000"/>
                <w:sz w:val="18"/>
                <w:szCs w:val="18"/>
              </w:rPr>
            </w:pPr>
            <w:r w:rsidRPr="00B32F81">
              <w:rPr>
                <w:rFonts w:ascii="Calibri" w:hAnsi="Calibri" w:cs="Calibri"/>
                <w:b/>
                <w:bCs/>
                <w:color w:val="000000"/>
                <w:sz w:val="18"/>
                <w:szCs w:val="18"/>
              </w:rPr>
              <w:t>Line No.</w:t>
            </w:r>
          </w:p>
        </w:tc>
        <w:tc>
          <w:tcPr>
            <w:tcW w:w="3548" w:type="dxa"/>
            <w:tcBorders>
              <w:top w:val="nil"/>
              <w:left w:val="nil"/>
              <w:bottom w:val="single" w:sz="4" w:space="0" w:color="auto"/>
              <w:right w:val="nil"/>
            </w:tcBorders>
            <w:shd w:val="clear" w:color="auto" w:fill="auto"/>
            <w:noWrap/>
            <w:vAlign w:val="bottom"/>
            <w:hideMark/>
          </w:tcPr>
          <w:p w14:paraId="6A7599FF" w14:textId="77777777" w:rsidR="00B32F81" w:rsidRPr="00B32F81" w:rsidRDefault="00B32F81" w:rsidP="00B32F81">
            <w:pPr>
              <w:jc w:val="center"/>
              <w:rPr>
                <w:rFonts w:ascii="Calibri" w:hAnsi="Calibri" w:cs="Calibri"/>
                <w:b/>
                <w:bCs/>
                <w:color w:val="000000"/>
                <w:sz w:val="18"/>
                <w:szCs w:val="18"/>
              </w:rPr>
            </w:pPr>
            <w:r w:rsidRPr="00B32F81">
              <w:rPr>
                <w:rFonts w:ascii="Calibri" w:hAnsi="Calibri" w:cs="Calibri"/>
                <w:b/>
                <w:bCs/>
                <w:color w:val="000000"/>
                <w:sz w:val="18"/>
                <w:szCs w:val="18"/>
              </w:rPr>
              <w:t>FERC Account</w:t>
            </w:r>
          </w:p>
        </w:tc>
        <w:tc>
          <w:tcPr>
            <w:tcW w:w="1825" w:type="dxa"/>
            <w:tcBorders>
              <w:top w:val="nil"/>
              <w:left w:val="nil"/>
              <w:bottom w:val="single" w:sz="4" w:space="0" w:color="auto"/>
              <w:right w:val="nil"/>
            </w:tcBorders>
            <w:shd w:val="clear" w:color="auto" w:fill="auto"/>
            <w:vAlign w:val="bottom"/>
            <w:hideMark/>
          </w:tcPr>
          <w:p w14:paraId="3CA1C3F9" w14:textId="77777777" w:rsidR="00B32F81" w:rsidRPr="00B32F81" w:rsidRDefault="00B32F81" w:rsidP="00B32F81">
            <w:pPr>
              <w:jc w:val="center"/>
              <w:rPr>
                <w:rFonts w:ascii="Calibri" w:hAnsi="Calibri" w:cs="Calibri"/>
                <w:b/>
                <w:bCs/>
                <w:color w:val="000000"/>
                <w:sz w:val="18"/>
                <w:szCs w:val="18"/>
              </w:rPr>
            </w:pPr>
            <w:r w:rsidRPr="00B32F81">
              <w:rPr>
                <w:rFonts w:ascii="Calibri" w:hAnsi="Calibri" w:cs="Calibri"/>
                <w:b/>
                <w:bCs/>
                <w:color w:val="000000"/>
                <w:sz w:val="18"/>
                <w:szCs w:val="18"/>
              </w:rPr>
              <w:t>Difference from Base</w:t>
            </w:r>
          </w:p>
        </w:tc>
        <w:tc>
          <w:tcPr>
            <w:tcW w:w="1714" w:type="dxa"/>
            <w:tcBorders>
              <w:top w:val="nil"/>
              <w:left w:val="nil"/>
              <w:bottom w:val="single" w:sz="4" w:space="0" w:color="auto"/>
              <w:right w:val="nil"/>
            </w:tcBorders>
            <w:shd w:val="clear" w:color="auto" w:fill="auto"/>
            <w:vAlign w:val="bottom"/>
            <w:hideMark/>
          </w:tcPr>
          <w:p w14:paraId="24E7F65C" w14:textId="77777777" w:rsidR="00B32F81" w:rsidRPr="00B32F81" w:rsidRDefault="00B32F81" w:rsidP="00B32F81">
            <w:pPr>
              <w:jc w:val="center"/>
              <w:rPr>
                <w:rFonts w:ascii="Calibri" w:hAnsi="Calibri" w:cs="Calibri"/>
                <w:b/>
                <w:bCs/>
                <w:color w:val="000000"/>
                <w:sz w:val="18"/>
                <w:szCs w:val="18"/>
              </w:rPr>
            </w:pPr>
            <w:r w:rsidRPr="00B32F81">
              <w:rPr>
                <w:rFonts w:ascii="Calibri" w:hAnsi="Calibri" w:cs="Calibri"/>
                <w:b/>
                <w:bCs/>
                <w:color w:val="000000"/>
                <w:sz w:val="18"/>
                <w:szCs w:val="18"/>
              </w:rPr>
              <w:t>Difference After Sharing</w:t>
            </w:r>
          </w:p>
        </w:tc>
        <w:tc>
          <w:tcPr>
            <w:tcW w:w="1714" w:type="dxa"/>
            <w:tcBorders>
              <w:top w:val="nil"/>
              <w:left w:val="nil"/>
              <w:bottom w:val="single" w:sz="4" w:space="0" w:color="auto"/>
              <w:right w:val="single" w:sz="4" w:space="0" w:color="auto"/>
            </w:tcBorders>
            <w:shd w:val="clear" w:color="auto" w:fill="auto"/>
            <w:vAlign w:val="bottom"/>
            <w:hideMark/>
          </w:tcPr>
          <w:p w14:paraId="71E2E529" w14:textId="77777777" w:rsidR="00B32F81" w:rsidRPr="00B32F81" w:rsidRDefault="00B32F81" w:rsidP="00B32F81">
            <w:pPr>
              <w:jc w:val="center"/>
              <w:rPr>
                <w:rFonts w:ascii="Calibri" w:hAnsi="Calibri" w:cs="Calibri"/>
                <w:b/>
                <w:bCs/>
                <w:color w:val="000000"/>
                <w:sz w:val="18"/>
                <w:szCs w:val="18"/>
              </w:rPr>
            </w:pPr>
            <w:r w:rsidRPr="00B32F81">
              <w:rPr>
                <w:rFonts w:ascii="Calibri" w:hAnsi="Calibri" w:cs="Calibri"/>
                <w:b/>
                <w:bCs/>
                <w:color w:val="000000"/>
                <w:sz w:val="18"/>
                <w:szCs w:val="18"/>
              </w:rPr>
              <w:t>Idaho Allocation</w:t>
            </w:r>
          </w:p>
        </w:tc>
      </w:tr>
      <w:tr w:rsidR="00B32F81" w:rsidRPr="00B32F81" w14:paraId="6FE2E9A4" w14:textId="77777777" w:rsidTr="00450403">
        <w:trPr>
          <w:trHeight w:val="300"/>
          <w:jc w:val="center"/>
        </w:trPr>
        <w:tc>
          <w:tcPr>
            <w:tcW w:w="840" w:type="dxa"/>
            <w:tcBorders>
              <w:top w:val="nil"/>
              <w:left w:val="single" w:sz="4" w:space="0" w:color="auto"/>
              <w:bottom w:val="nil"/>
              <w:right w:val="single" w:sz="4" w:space="0" w:color="auto"/>
            </w:tcBorders>
            <w:shd w:val="clear" w:color="auto" w:fill="auto"/>
            <w:noWrap/>
            <w:vAlign w:val="bottom"/>
            <w:hideMark/>
          </w:tcPr>
          <w:p w14:paraId="0FD6E48F" w14:textId="77777777" w:rsidR="00B32F81" w:rsidRPr="00B32F81" w:rsidRDefault="00B32F81" w:rsidP="00B32F81">
            <w:pPr>
              <w:rPr>
                <w:rFonts w:ascii="Calibri" w:hAnsi="Calibri" w:cs="Calibri"/>
                <w:color w:val="000000"/>
                <w:sz w:val="18"/>
                <w:szCs w:val="18"/>
              </w:rPr>
            </w:pPr>
            <w:r w:rsidRPr="00B32F81">
              <w:rPr>
                <w:rFonts w:ascii="Calibri" w:hAnsi="Calibri" w:cs="Calibri"/>
                <w:color w:val="000000"/>
                <w:sz w:val="18"/>
                <w:szCs w:val="18"/>
              </w:rPr>
              <w:t> </w:t>
            </w:r>
          </w:p>
        </w:tc>
        <w:tc>
          <w:tcPr>
            <w:tcW w:w="3548" w:type="dxa"/>
            <w:tcBorders>
              <w:top w:val="nil"/>
              <w:left w:val="nil"/>
              <w:bottom w:val="nil"/>
              <w:right w:val="nil"/>
            </w:tcBorders>
            <w:shd w:val="clear" w:color="auto" w:fill="auto"/>
            <w:noWrap/>
            <w:vAlign w:val="bottom"/>
            <w:hideMark/>
          </w:tcPr>
          <w:p w14:paraId="420AFDBE" w14:textId="77777777" w:rsidR="00B32F81" w:rsidRPr="00B32F81" w:rsidRDefault="00B32F81" w:rsidP="00B32F81">
            <w:pPr>
              <w:rPr>
                <w:rFonts w:ascii="Calibri" w:hAnsi="Calibri" w:cs="Calibri"/>
                <w:color w:val="000000"/>
                <w:sz w:val="18"/>
                <w:szCs w:val="18"/>
                <w:u w:val="single"/>
              </w:rPr>
            </w:pPr>
            <w:r w:rsidRPr="00B32F81">
              <w:rPr>
                <w:rFonts w:ascii="Calibri" w:hAnsi="Calibri" w:cs="Calibri"/>
                <w:color w:val="000000"/>
                <w:sz w:val="18"/>
                <w:szCs w:val="18"/>
                <w:u w:val="single"/>
              </w:rPr>
              <w:t>95% Sharing Accounts</w:t>
            </w:r>
          </w:p>
        </w:tc>
        <w:tc>
          <w:tcPr>
            <w:tcW w:w="1825" w:type="dxa"/>
            <w:tcBorders>
              <w:top w:val="nil"/>
              <w:left w:val="nil"/>
              <w:bottom w:val="nil"/>
              <w:right w:val="nil"/>
            </w:tcBorders>
            <w:shd w:val="clear" w:color="auto" w:fill="auto"/>
            <w:noWrap/>
            <w:vAlign w:val="bottom"/>
            <w:hideMark/>
          </w:tcPr>
          <w:p w14:paraId="3AB539EA" w14:textId="77777777" w:rsidR="00B32F81" w:rsidRPr="00B32F81" w:rsidRDefault="00B32F81" w:rsidP="00B32F81">
            <w:pPr>
              <w:jc w:val="center"/>
              <w:rPr>
                <w:rFonts w:ascii="Calibri" w:hAnsi="Calibri" w:cs="Calibri"/>
                <w:color w:val="000000"/>
                <w:sz w:val="18"/>
                <w:szCs w:val="18"/>
              </w:rPr>
            </w:pPr>
            <w:r w:rsidRPr="00B32F81">
              <w:rPr>
                <w:rFonts w:ascii="Calibri" w:hAnsi="Calibri" w:cs="Calibri"/>
                <w:color w:val="000000"/>
                <w:sz w:val="18"/>
                <w:szCs w:val="18"/>
              </w:rPr>
              <w:t>(From Table 1)</w:t>
            </w:r>
          </w:p>
        </w:tc>
        <w:tc>
          <w:tcPr>
            <w:tcW w:w="1714" w:type="dxa"/>
            <w:tcBorders>
              <w:top w:val="nil"/>
              <w:left w:val="nil"/>
              <w:bottom w:val="nil"/>
              <w:right w:val="nil"/>
            </w:tcBorders>
            <w:shd w:val="clear" w:color="auto" w:fill="auto"/>
            <w:noWrap/>
            <w:vAlign w:val="bottom"/>
            <w:hideMark/>
          </w:tcPr>
          <w:p w14:paraId="557BA252" w14:textId="77777777" w:rsidR="00B32F81" w:rsidRPr="00B32F81" w:rsidRDefault="00B32F81" w:rsidP="00B32F81">
            <w:pPr>
              <w:jc w:val="center"/>
              <w:rPr>
                <w:rFonts w:ascii="Calibri" w:hAnsi="Calibri" w:cs="Calibri"/>
                <w:color w:val="000000"/>
                <w:sz w:val="18"/>
                <w:szCs w:val="18"/>
              </w:rPr>
            </w:pPr>
          </w:p>
        </w:tc>
        <w:tc>
          <w:tcPr>
            <w:tcW w:w="1714" w:type="dxa"/>
            <w:tcBorders>
              <w:top w:val="nil"/>
              <w:left w:val="nil"/>
              <w:bottom w:val="nil"/>
              <w:right w:val="single" w:sz="4" w:space="0" w:color="auto"/>
            </w:tcBorders>
            <w:shd w:val="clear" w:color="auto" w:fill="auto"/>
            <w:noWrap/>
            <w:vAlign w:val="bottom"/>
            <w:hideMark/>
          </w:tcPr>
          <w:p w14:paraId="030EF53D" w14:textId="77777777" w:rsidR="00B32F81" w:rsidRPr="00B32F81" w:rsidRDefault="00B32F81" w:rsidP="00B32F81">
            <w:pPr>
              <w:rPr>
                <w:rFonts w:ascii="Calibri" w:hAnsi="Calibri" w:cs="Calibri"/>
                <w:color w:val="000000"/>
                <w:sz w:val="18"/>
                <w:szCs w:val="18"/>
              </w:rPr>
            </w:pPr>
            <w:r w:rsidRPr="00B32F81">
              <w:rPr>
                <w:rFonts w:ascii="Calibri" w:hAnsi="Calibri" w:cs="Calibri"/>
                <w:color w:val="000000"/>
                <w:sz w:val="18"/>
                <w:szCs w:val="18"/>
              </w:rPr>
              <w:t> </w:t>
            </w:r>
          </w:p>
        </w:tc>
      </w:tr>
      <w:tr w:rsidR="008D2287" w:rsidRPr="00B32F81" w14:paraId="734299B5" w14:textId="77777777" w:rsidTr="008D2287">
        <w:trPr>
          <w:trHeight w:val="300"/>
          <w:jc w:val="center"/>
        </w:trPr>
        <w:tc>
          <w:tcPr>
            <w:tcW w:w="840" w:type="dxa"/>
            <w:tcBorders>
              <w:top w:val="nil"/>
              <w:left w:val="single" w:sz="4" w:space="0" w:color="auto"/>
              <w:bottom w:val="nil"/>
              <w:right w:val="single" w:sz="4" w:space="0" w:color="auto"/>
            </w:tcBorders>
            <w:shd w:val="clear" w:color="auto" w:fill="auto"/>
            <w:noWrap/>
            <w:vAlign w:val="bottom"/>
            <w:hideMark/>
          </w:tcPr>
          <w:p w14:paraId="6F2A3988" w14:textId="77777777" w:rsidR="008D2287" w:rsidRPr="00B32F81" w:rsidRDefault="008D2287" w:rsidP="008D2287">
            <w:pPr>
              <w:jc w:val="center"/>
              <w:rPr>
                <w:rFonts w:ascii="Calibri" w:hAnsi="Calibri" w:cs="Calibri"/>
                <w:color w:val="000000"/>
                <w:sz w:val="18"/>
                <w:szCs w:val="18"/>
              </w:rPr>
            </w:pPr>
            <w:r w:rsidRPr="00B32F81">
              <w:rPr>
                <w:rFonts w:ascii="Calibri" w:hAnsi="Calibri" w:cs="Calibri"/>
                <w:color w:val="000000"/>
                <w:sz w:val="18"/>
                <w:szCs w:val="18"/>
              </w:rPr>
              <w:t>1</w:t>
            </w:r>
          </w:p>
        </w:tc>
        <w:tc>
          <w:tcPr>
            <w:tcW w:w="3548" w:type="dxa"/>
            <w:tcBorders>
              <w:top w:val="nil"/>
              <w:left w:val="nil"/>
              <w:bottom w:val="nil"/>
              <w:right w:val="nil"/>
            </w:tcBorders>
            <w:shd w:val="clear" w:color="auto" w:fill="auto"/>
            <w:noWrap/>
            <w:vAlign w:val="bottom"/>
            <w:hideMark/>
          </w:tcPr>
          <w:p w14:paraId="41EDF80A" w14:textId="77777777" w:rsidR="008D2287" w:rsidRPr="00B32F81" w:rsidRDefault="008D2287" w:rsidP="008D2287">
            <w:pPr>
              <w:rPr>
                <w:rFonts w:ascii="Calibri" w:hAnsi="Calibri" w:cs="Calibri"/>
                <w:color w:val="000000"/>
                <w:sz w:val="18"/>
                <w:szCs w:val="18"/>
              </w:rPr>
            </w:pPr>
            <w:r w:rsidRPr="00B32F81">
              <w:rPr>
                <w:rFonts w:ascii="Calibri" w:hAnsi="Calibri" w:cs="Calibri"/>
                <w:color w:val="000000"/>
                <w:sz w:val="18"/>
                <w:szCs w:val="18"/>
              </w:rPr>
              <w:t>Account 501, Coal</w:t>
            </w:r>
          </w:p>
        </w:tc>
        <w:tc>
          <w:tcPr>
            <w:tcW w:w="1825" w:type="dxa"/>
            <w:tcBorders>
              <w:top w:val="nil"/>
              <w:left w:val="nil"/>
              <w:bottom w:val="nil"/>
              <w:right w:val="nil"/>
            </w:tcBorders>
            <w:shd w:val="clear" w:color="auto" w:fill="auto"/>
            <w:noWrap/>
            <w:vAlign w:val="bottom"/>
            <w:hideMark/>
          </w:tcPr>
          <w:p w14:paraId="6151652F" w14:textId="5C7FED5E" w:rsidR="008D2287" w:rsidRPr="008D2287" w:rsidRDefault="008D2287" w:rsidP="008D2287">
            <w:pPr>
              <w:jc w:val="right"/>
              <w:rPr>
                <w:rFonts w:asciiTheme="majorHAnsi" w:hAnsiTheme="majorHAnsi" w:cstheme="majorHAnsi"/>
                <w:color w:val="000000"/>
                <w:sz w:val="18"/>
                <w:szCs w:val="18"/>
              </w:rPr>
            </w:pPr>
            <w:r w:rsidRPr="008D2287">
              <w:rPr>
                <w:rFonts w:asciiTheme="majorHAnsi" w:hAnsiTheme="majorHAnsi" w:cstheme="majorHAnsi"/>
                <w:sz w:val="18"/>
                <w:szCs w:val="18"/>
              </w:rPr>
              <w:t xml:space="preserve"> $</w:t>
            </w:r>
            <w:r>
              <w:rPr>
                <w:rFonts w:asciiTheme="majorHAnsi" w:hAnsiTheme="majorHAnsi" w:cstheme="majorHAnsi"/>
                <w:sz w:val="18"/>
                <w:szCs w:val="18"/>
              </w:rPr>
              <w:t xml:space="preserve">     </w:t>
            </w:r>
            <w:r w:rsidRPr="008D2287">
              <w:rPr>
                <w:rFonts w:asciiTheme="majorHAnsi" w:hAnsiTheme="majorHAnsi" w:cstheme="majorHAnsi"/>
                <w:sz w:val="18"/>
                <w:szCs w:val="18"/>
              </w:rPr>
              <w:t xml:space="preserve">21,586,845 </w:t>
            </w:r>
          </w:p>
        </w:tc>
        <w:tc>
          <w:tcPr>
            <w:tcW w:w="1714" w:type="dxa"/>
            <w:tcBorders>
              <w:top w:val="nil"/>
              <w:left w:val="nil"/>
              <w:bottom w:val="nil"/>
              <w:right w:val="nil"/>
            </w:tcBorders>
            <w:shd w:val="clear" w:color="auto" w:fill="auto"/>
            <w:noWrap/>
            <w:vAlign w:val="bottom"/>
            <w:hideMark/>
          </w:tcPr>
          <w:p w14:paraId="0AA395D8" w14:textId="72CE805C" w:rsidR="008D2287" w:rsidRPr="008D2287" w:rsidRDefault="008D2287" w:rsidP="008D2287">
            <w:pPr>
              <w:jc w:val="right"/>
              <w:rPr>
                <w:rFonts w:asciiTheme="majorHAnsi" w:hAnsiTheme="majorHAnsi" w:cstheme="majorHAnsi"/>
                <w:color w:val="000000"/>
                <w:sz w:val="18"/>
                <w:szCs w:val="18"/>
              </w:rPr>
            </w:pPr>
            <w:r w:rsidRPr="008D2287">
              <w:rPr>
                <w:rFonts w:asciiTheme="majorHAnsi" w:hAnsiTheme="majorHAnsi" w:cstheme="majorHAnsi"/>
                <w:sz w:val="18"/>
                <w:szCs w:val="18"/>
              </w:rPr>
              <w:t xml:space="preserve"> $</w:t>
            </w:r>
            <w:r>
              <w:rPr>
                <w:rFonts w:asciiTheme="majorHAnsi" w:hAnsiTheme="majorHAnsi" w:cstheme="majorHAnsi"/>
                <w:sz w:val="18"/>
                <w:szCs w:val="18"/>
              </w:rPr>
              <w:t xml:space="preserve">      </w:t>
            </w:r>
            <w:r w:rsidRPr="008D2287">
              <w:rPr>
                <w:rFonts w:asciiTheme="majorHAnsi" w:hAnsiTheme="majorHAnsi" w:cstheme="majorHAnsi"/>
                <w:sz w:val="18"/>
                <w:szCs w:val="18"/>
              </w:rPr>
              <w:t xml:space="preserve">20,507,503 </w:t>
            </w:r>
          </w:p>
        </w:tc>
        <w:tc>
          <w:tcPr>
            <w:tcW w:w="1714" w:type="dxa"/>
            <w:tcBorders>
              <w:top w:val="nil"/>
              <w:left w:val="nil"/>
              <w:bottom w:val="nil"/>
              <w:right w:val="single" w:sz="4" w:space="0" w:color="auto"/>
            </w:tcBorders>
            <w:shd w:val="clear" w:color="auto" w:fill="auto"/>
            <w:noWrap/>
            <w:vAlign w:val="bottom"/>
            <w:hideMark/>
          </w:tcPr>
          <w:p w14:paraId="40B823CF" w14:textId="7642E448" w:rsidR="008D2287" w:rsidRPr="00F022E1" w:rsidRDefault="008D2287" w:rsidP="008D2287">
            <w:pPr>
              <w:jc w:val="right"/>
              <w:rPr>
                <w:rFonts w:asciiTheme="majorHAnsi" w:hAnsiTheme="majorHAnsi" w:cstheme="majorHAnsi"/>
                <w:color w:val="000000"/>
                <w:sz w:val="18"/>
                <w:szCs w:val="18"/>
              </w:rPr>
            </w:pPr>
            <w:r w:rsidRPr="00F022E1">
              <w:rPr>
                <w:rFonts w:ascii="Calibri" w:hAnsi="Calibri" w:cs="Calibri"/>
                <w:color w:val="000000"/>
                <w:sz w:val="18"/>
                <w:szCs w:val="18"/>
              </w:rPr>
              <w:t xml:space="preserve"> $       19,588,713 </w:t>
            </w:r>
          </w:p>
        </w:tc>
      </w:tr>
      <w:tr w:rsidR="008D2287" w:rsidRPr="00B32F81" w14:paraId="08076E2A" w14:textId="77777777" w:rsidTr="008D2287">
        <w:trPr>
          <w:trHeight w:val="300"/>
          <w:jc w:val="center"/>
        </w:trPr>
        <w:tc>
          <w:tcPr>
            <w:tcW w:w="840" w:type="dxa"/>
            <w:tcBorders>
              <w:top w:val="nil"/>
              <w:left w:val="single" w:sz="4" w:space="0" w:color="auto"/>
              <w:bottom w:val="nil"/>
              <w:right w:val="single" w:sz="4" w:space="0" w:color="auto"/>
            </w:tcBorders>
            <w:shd w:val="clear" w:color="auto" w:fill="auto"/>
            <w:noWrap/>
            <w:vAlign w:val="bottom"/>
            <w:hideMark/>
          </w:tcPr>
          <w:p w14:paraId="5D0FA8F7" w14:textId="77777777" w:rsidR="008D2287" w:rsidRPr="00B32F81" w:rsidRDefault="008D2287" w:rsidP="008D2287">
            <w:pPr>
              <w:jc w:val="center"/>
              <w:rPr>
                <w:rFonts w:ascii="Calibri" w:hAnsi="Calibri" w:cs="Calibri"/>
                <w:color w:val="000000"/>
                <w:sz w:val="18"/>
                <w:szCs w:val="18"/>
              </w:rPr>
            </w:pPr>
            <w:r w:rsidRPr="00B32F81">
              <w:rPr>
                <w:rFonts w:ascii="Calibri" w:hAnsi="Calibri" w:cs="Calibri"/>
                <w:color w:val="000000"/>
                <w:sz w:val="18"/>
                <w:szCs w:val="18"/>
              </w:rPr>
              <w:t>2</w:t>
            </w:r>
          </w:p>
        </w:tc>
        <w:tc>
          <w:tcPr>
            <w:tcW w:w="3548" w:type="dxa"/>
            <w:tcBorders>
              <w:top w:val="nil"/>
              <w:left w:val="nil"/>
              <w:bottom w:val="nil"/>
              <w:right w:val="nil"/>
            </w:tcBorders>
            <w:shd w:val="clear" w:color="auto" w:fill="auto"/>
            <w:noWrap/>
            <w:vAlign w:val="bottom"/>
            <w:hideMark/>
          </w:tcPr>
          <w:p w14:paraId="3CD20171" w14:textId="77777777" w:rsidR="008D2287" w:rsidRPr="00B32F81" w:rsidRDefault="008D2287" w:rsidP="008D2287">
            <w:pPr>
              <w:rPr>
                <w:rFonts w:ascii="Calibri" w:hAnsi="Calibri" w:cs="Calibri"/>
                <w:color w:val="000000"/>
                <w:sz w:val="18"/>
                <w:szCs w:val="18"/>
              </w:rPr>
            </w:pPr>
            <w:r w:rsidRPr="00B32F81">
              <w:rPr>
                <w:rFonts w:ascii="Calibri" w:hAnsi="Calibri" w:cs="Calibri"/>
                <w:color w:val="000000"/>
                <w:sz w:val="18"/>
                <w:szCs w:val="18"/>
              </w:rPr>
              <w:t>Account 536, Water for Power</w:t>
            </w:r>
          </w:p>
        </w:tc>
        <w:tc>
          <w:tcPr>
            <w:tcW w:w="1825" w:type="dxa"/>
            <w:tcBorders>
              <w:top w:val="nil"/>
              <w:left w:val="nil"/>
              <w:bottom w:val="nil"/>
              <w:right w:val="nil"/>
            </w:tcBorders>
            <w:shd w:val="clear" w:color="auto" w:fill="auto"/>
            <w:noWrap/>
            <w:vAlign w:val="bottom"/>
            <w:hideMark/>
          </w:tcPr>
          <w:p w14:paraId="5F8E339A" w14:textId="4760829F" w:rsidR="008D2287" w:rsidRPr="008D2287" w:rsidRDefault="008D2287" w:rsidP="008D2287">
            <w:pPr>
              <w:jc w:val="right"/>
              <w:rPr>
                <w:rFonts w:asciiTheme="majorHAnsi" w:hAnsiTheme="majorHAnsi" w:cstheme="majorHAnsi"/>
                <w:color w:val="000000"/>
                <w:sz w:val="18"/>
                <w:szCs w:val="18"/>
              </w:rPr>
            </w:pPr>
            <w:r w:rsidRPr="008D2287">
              <w:rPr>
                <w:rFonts w:asciiTheme="majorHAnsi" w:hAnsiTheme="majorHAnsi" w:cstheme="majorHAnsi"/>
                <w:sz w:val="18"/>
                <w:szCs w:val="18"/>
              </w:rPr>
              <w:t xml:space="preserve"> $</w:t>
            </w:r>
            <w:r>
              <w:rPr>
                <w:rFonts w:asciiTheme="majorHAnsi" w:hAnsiTheme="majorHAnsi" w:cstheme="majorHAnsi"/>
                <w:sz w:val="18"/>
                <w:szCs w:val="18"/>
              </w:rPr>
              <w:t xml:space="preserve">     </w:t>
            </w:r>
            <w:r w:rsidRPr="008D2287">
              <w:rPr>
                <w:rFonts w:asciiTheme="majorHAnsi" w:hAnsiTheme="majorHAnsi" w:cstheme="majorHAnsi"/>
                <w:sz w:val="18"/>
                <w:szCs w:val="18"/>
              </w:rPr>
              <w:t>(2,380,597)</w:t>
            </w:r>
          </w:p>
        </w:tc>
        <w:tc>
          <w:tcPr>
            <w:tcW w:w="1714" w:type="dxa"/>
            <w:tcBorders>
              <w:top w:val="nil"/>
              <w:left w:val="nil"/>
              <w:bottom w:val="nil"/>
              <w:right w:val="nil"/>
            </w:tcBorders>
            <w:shd w:val="clear" w:color="auto" w:fill="auto"/>
            <w:noWrap/>
            <w:vAlign w:val="bottom"/>
            <w:hideMark/>
          </w:tcPr>
          <w:p w14:paraId="6D5E75D5" w14:textId="06C58BF6" w:rsidR="008D2287" w:rsidRPr="008D2287" w:rsidRDefault="008D2287" w:rsidP="008D2287">
            <w:pPr>
              <w:jc w:val="right"/>
              <w:rPr>
                <w:rFonts w:asciiTheme="majorHAnsi" w:hAnsiTheme="majorHAnsi" w:cstheme="majorHAnsi"/>
                <w:color w:val="000000"/>
                <w:sz w:val="18"/>
                <w:szCs w:val="18"/>
              </w:rPr>
            </w:pPr>
            <w:r w:rsidRPr="008D2287">
              <w:rPr>
                <w:rFonts w:asciiTheme="majorHAnsi" w:hAnsiTheme="majorHAnsi" w:cstheme="majorHAnsi"/>
                <w:sz w:val="18"/>
                <w:szCs w:val="18"/>
              </w:rPr>
              <w:t xml:space="preserve"> $</w:t>
            </w:r>
            <w:r>
              <w:rPr>
                <w:rFonts w:asciiTheme="majorHAnsi" w:hAnsiTheme="majorHAnsi" w:cstheme="majorHAnsi"/>
                <w:sz w:val="18"/>
                <w:szCs w:val="18"/>
              </w:rPr>
              <w:t xml:space="preserve">      </w:t>
            </w:r>
            <w:r w:rsidRPr="008D2287">
              <w:rPr>
                <w:rFonts w:asciiTheme="majorHAnsi" w:hAnsiTheme="majorHAnsi" w:cstheme="majorHAnsi"/>
                <w:sz w:val="18"/>
                <w:szCs w:val="18"/>
              </w:rPr>
              <w:t>(2,261,567)</w:t>
            </w:r>
          </w:p>
        </w:tc>
        <w:tc>
          <w:tcPr>
            <w:tcW w:w="1714" w:type="dxa"/>
            <w:tcBorders>
              <w:top w:val="nil"/>
              <w:left w:val="nil"/>
              <w:bottom w:val="nil"/>
              <w:right w:val="single" w:sz="4" w:space="0" w:color="auto"/>
            </w:tcBorders>
            <w:shd w:val="clear" w:color="auto" w:fill="auto"/>
            <w:noWrap/>
            <w:vAlign w:val="bottom"/>
            <w:hideMark/>
          </w:tcPr>
          <w:p w14:paraId="5BDB52E1" w14:textId="07614608" w:rsidR="008D2287" w:rsidRPr="00F022E1" w:rsidRDefault="008D2287" w:rsidP="008D2287">
            <w:pPr>
              <w:jc w:val="right"/>
              <w:rPr>
                <w:rFonts w:asciiTheme="majorHAnsi" w:hAnsiTheme="majorHAnsi" w:cstheme="majorHAnsi"/>
                <w:color w:val="000000"/>
                <w:sz w:val="18"/>
                <w:szCs w:val="18"/>
              </w:rPr>
            </w:pPr>
            <w:r w:rsidRPr="00F022E1">
              <w:rPr>
                <w:rFonts w:ascii="Calibri" w:hAnsi="Calibri" w:cs="Calibri"/>
                <w:color w:val="000000"/>
                <w:sz w:val="18"/>
                <w:szCs w:val="18"/>
              </w:rPr>
              <w:t xml:space="preserve"> $       (2,160,243)</w:t>
            </w:r>
          </w:p>
        </w:tc>
      </w:tr>
      <w:tr w:rsidR="008D2287" w:rsidRPr="00B32F81" w14:paraId="2EF16001" w14:textId="77777777" w:rsidTr="008D2287">
        <w:trPr>
          <w:trHeight w:val="300"/>
          <w:jc w:val="center"/>
        </w:trPr>
        <w:tc>
          <w:tcPr>
            <w:tcW w:w="840" w:type="dxa"/>
            <w:tcBorders>
              <w:top w:val="nil"/>
              <w:left w:val="single" w:sz="4" w:space="0" w:color="auto"/>
              <w:bottom w:val="nil"/>
              <w:right w:val="single" w:sz="4" w:space="0" w:color="auto"/>
            </w:tcBorders>
            <w:shd w:val="clear" w:color="auto" w:fill="auto"/>
            <w:noWrap/>
            <w:vAlign w:val="bottom"/>
            <w:hideMark/>
          </w:tcPr>
          <w:p w14:paraId="2019EE5E" w14:textId="77777777" w:rsidR="008D2287" w:rsidRPr="00B32F81" w:rsidRDefault="008D2287" w:rsidP="008D2287">
            <w:pPr>
              <w:jc w:val="center"/>
              <w:rPr>
                <w:rFonts w:ascii="Calibri" w:hAnsi="Calibri" w:cs="Calibri"/>
                <w:color w:val="000000"/>
                <w:sz w:val="18"/>
                <w:szCs w:val="18"/>
              </w:rPr>
            </w:pPr>
            <w:r w:rsidRPr="00B32F81">
              <w:rPr>
                <w:rFonts w:ascii="Calibri" w:hAnsi="Calibri" w:cs="Calibri"/>
                <w:color w:val="000000"/>
                <w:sz w:val="18"/>
                <w:szCs w:val="18"/>
              </w:rPr>
              <w:t>3</w:t>
            </w:r>
          </w:p>
        </w:tc>
        <w:tc>
          <w:tcPr>
            <w:tcW w:w="3548" w:type="dxa"/>
            <w:tcBorders>
              <w:top w:val="nil"/>
              <w:left w:val="nil"/>
              <w:bottom w:val="nil"/>
              <w:right w:val="nil"/>
            </w:tcBorders>
            <w:shd w:val="clear" w:color="auto" w:fill="auto"/>
            <w:noWrap/>
            <w:vAlign w:val="bottom"/>
            <w:hideMark/>
          </w:tcPr>
          <w:p w14:paraId="1DDA4CF7" w14:textId="77777777" w:rsidR="008D2287" w:rsidRPr="00B32F81" w:rsidRDefault="008D2287" w:rsidP="008D2287">
            <w:pPr>
              <w:rPr>
                <w:rFonts w:ascii="Calibri" w:hAnsi="Calibri" w:cs="Calibri"/>
                <w:color w:val="000000"/>
                <w:sz w:val="18"/>
                <w:szCs w:val="18"/>
              </w:rPr>
            </w:pPr>
            <w:r w:rsidRPr="00B32F81">
              <w:rPr>
                <w:rFonts w:ascii="Calibri" w:hAnsi="Calibri" w:cs="Calibri"/>
                <w:color w:val="000000"/>
                <w:sz w:val="18"/>
                <w:szCs w:val="18"/>
              </w:rPr>
              <w:t>Account 547, Other Fuel</w:t>
            </w:r>
          </w:p>
        </w:tc>
        <w:tc>
          <w:tcPr>
            <w:tcW w:w="1825" w:type="dxa"/>
            <w:tcBorders>
              <w:top w:val="nil"/>
              <w:left w:val="nil"/>
              <w:bottom w:val="nil"/>
              <w:right w:val="nil"/>
            </w:tcBorders>
            <w:shd w:val="clear" w:color="auto" w:fill="auto"/>
            <w:noWrap/>
            <w:vAlign w:val="bottom"/>
            <w:hideMark/>
          </w:tcPr>
          <w:p w14:paraId="5AC757C7" w14:textId="61063D0A" w:rsidR="008D2287" w:rsidRPr="008D2287" w:rsidRDefault="008D2287" w:rsidP="008D2287">
            <w:pPr>
              <w:jc w:val="right"/>
              <w:rPr>
                <w:rFonts w:asciiTheme="majorHAnsi" w:hAnsiTheme="majorHAnsi" w:cstheme="majorHAnsi"/>
                <w:color w:val="000000"/>
                <w:sz w:val="18"/>
                <w:szCs w:val="18"/>
              </w:rPr>
            </w:pPr>
            <w:r w:rsidRPr="008D2287">
              <w:rPr>
                <w:rFonts w:asciiTheme="majorHAnsi" w:hAnsiTheme="majorHAnsi" w:cstheme="majorHAnsi"/>
                <w:sz w:val="18"/>
                <w:szCs w:val="18"/>
              </w:rPr>
              <w:t xml:space="preserve"> $</w:t>
            </w:r>
            <w:r>
              <w:rPr>
                <w:rFonts w:asciiTheme="majorHAnsi" w:hAnsiTheme="majorHAnsi" w:cstheme="majorHAnsi"/>
                <w:sz w:val="18"/>
                <w:szCs w:val="18"/>
              </w:rPr>
              <w:t xml:space="preserve">   </w:t>
            </w:r>
            <w:r w:rsidRPr="008D2287">
              <w:rPr>
                <w:rFonts w:asciiTheme="majorHAnsi" w:hAnsiTheme="majorHAnsi" w:cstheme="majorHAnsi"/>
                <w:sz w:val="18"/>
                <w:szCs w:val="18"/>
              </w:rPr>
              <w:t xml:space="preserve">101,256,077 </w:t>
            </w:r>
          </w:p>
        </w:tc>
        <w:tc>
          <w:tcPr>
            <w:tcW w:w="1714" w:type="dxa"/>
            <w:tcBorders>
              <w:top w:val="nil"/>
              <w:left w:val="nil"/>
              <w:bottom w:val="nil"/>
              <w:right w:val="nil"/>
            </w:tcBorders>
            <w:shd w:val="clear" w:color="auto" w:fill="auto"/>
            <w:noWrap/>
            <w:vAlign w:val="bottom"/>
            <w:hideMark/>
          </w:tcPr>
          <w:p w14:paraId="2C7F420A" w14:textId="35CBDD31" w:rsidR="008D2287" w:rsidRPr="008D2287" w:rsidRDefault="008D2287" w:rsidP="008D2287">
            <w:pPr>
              <w:jc w:val="right"/>
              <w:rPr>
                <w:rFonts w:asciiTheme="majorHAnsi" w:hAnsiTheme="majorHAnsi" w:cstheme="majorHAnsi"/>
                <w:color w:val="000000"/>
                <w:sz w:val="18"/>
                <w:szCs w:val="18"/>
              </w:rPr>
            </w:pPr>
            <w:r w:rsidRPr="008D2287">
              <w:rPr>
                <w:rFonts w:asciiTheme="majorHAnsi" w:hAnsiTheme="majorHAnsi" w:cstheme="majorHAnsi"/>
                <w:sz w:val="18"/>
                <w:szCs w:val="18"/>
              </w:rPr>
              <w:t xml:space="preserve"> $</w:t>
            </w:r>
            <w:r>
              <w:rPr>
                <w:rFonts w:asciiTheme="majorHAnsi" w:hAnsiTheme="majorHAnsi" w:cstheme="majorHAnsi"/>
                <w:sz w:val="18"/>
                <w:szCs w:val="18"/>
              </w:rPr>
              <w:t xml:space="preserve">      </w:t>
            </w:r>
            <w:r w:rsidRPr="008D2287">
              <w:rPr>
                <w:rFonts w:asciiTheme="majorHAnsi" w:hAnsiTheme="majorHAnsi" w:cstheme="majorHAnsi"/>
                <w:sz w:val="18"/>
                <w:szCs w:val="18"/>
              </w:rPr>
              <w:t xml:space="preserve">96,193,273 </w:t>
            </w:r>
          </w:p>
        </w:tc>
        <w:tc>
          <w:tcPr>
            <w:tcW w:w="1714" w:type="dxa"/>
            <w:tcBorders>
              <w:top w:val="nil"/>
              <w:left w:val="nil"/>
              <w:bottom w:val="nil"/>
              <w:right w:val="single" w:sz="4" w:space="0" w:color="auto"/>
            </w:tcBorders>
            <w:shd w:val="clear" w:color="auto" w:fill="auto"/>
            <w:noWrap/>
            <w:vAlign w:val="bottom"/>
            <w:hideMark/>
          </w:tcPr>
          <w:p w14:paraId="29153DD2" w14:textId="11F09A18" w:rsidR="008D2287" w:rsidRPr="00F022E1" w:rsidRDefault="008D2287" w:rsidP="008D2287">
            <w:pPr>
              <w:jc w:val="right"/>
              <w:rPr>
                <w:rFonts w:asciiTheme="majorHAnsi" w:hAnsiTheme="majorHAnsi" w:cstheme="majorHAnsi"/>
                <w:color w:val="000000"/>
                <w:sz w:val="18"/>
                <w:szCs w:val="18"/>
              </w:rPr>
            </w:pPr>
            <w:r w:rsidRPr="00F022E1">
              <w:rPr>
                <w:rFonts w:ascii="Calibri" w:hAnsi="Calibri" w:cs="Calibri"/>
                <w:color w:val="000000"/>
                <w:sz w:val="18"/>
                <w:szCs w:val="18"/>
              </w:rPr>
              <w:t xml:space="preserve"> $       91,883,560 </w:t>
            </w:r>
          </w:p>
        </w:tc>
      </w:tr>
      <w:tr w:rsidR="008D2287" w:rsidRPr="00B32F81" w14:paraId="318C76C2" w14:textId="77777777" w:rsidTr="008D2287">
        <w:trPr>
          <w:trHeight w:val="300"/>
          <w:jc w:val="center"/>
        </w:trPr>
        <w:tc>
          <w:tcPr>
            <w:tcW w:w="840" w:type="dxa"/>
            <w:tcBorders>
              <w:top w:val="nil"/>
              <w:left w:val="single" w:sz="4" w:space="0" w:color="auto"/>
              <w:bottom w:val="nil"/>
              <w:right w:val="single" w:sz="4" w:space="0" w:color="auto"/>
            </w:tcBorders>
            <w:shd w:val="clear" w:color="auto" w:fill="auto"/>
            <w:noWrap/>
            <w:vAlign w:val="bottom"/>
            <w:hideMark/>
          </w:tcPr>
          <w:p w14:paraId="7CFCE179" w14:textId="77777777" w:rsidR="008D2287" w:rsidRPr="00B32F81" w:rsidRDefault="008D2287" w:rsidP="008D2287">
            <w:pPr>
              <w:jc w:val="center"/>
              <w:rPr>
                <w:rFonts w:ascii="Calibri" w:hAnsi="Calibri" w:cs="Calibri"/>
                <w:color w:val="000000"/>
                <w:sz w:val="18"/>
                <w:szCs w:val="18"/>
              </w:rPr>
            </w:pPr>
            <w:r w:rsidRPr="00B32F81">
              <w:rPr>
                <w:rFonts w:ascii="Calibri" w:hAnsi="Calibri" w:cs="Calibri"/>
                <w:color w:val="000000"/>
                <w:sz w:val="18"/>
                <w:szCs w:val="18"/>
              </w:rPr>
              <w:t>4</w:t>
            </w:r>
          </w:p>
        </w:tc>
        <w:tc>
          <w:tcPr>
            <w:tcW w:w="3548" w:type="dxa"/>
            <w:tcBorders>
              <w:top w:val="nil"/>
              <w:left w:val="nil"/>
              <w:bottom w:val="nil"/>
              <w:right w:val="nil"/>
            </w:tcBorders>
            <w:shd w:val="clear" w:color="auto" w:fill="auto"/>
            <w:noWrap/>
            <w:vAlign w:val="bottom"/>
            <w:hideMark/>
          </w:tcPr>
          <w:p w14:paraId="0C62DA5E" w14:textId="77777777" w:rsidR="008D2287" w:rsidRPr="00B32F81" w:rsidRDefault="008D2287" w:rsidP="008D2287">
            <w:pPr>
              <w:rPr>
                <w:rFonts w:ascii="Calibri" w:hAnsi="Calibri" w:cs="Calibri"/>
                <w:color w:val="000000"/>
                <w:sz w:val="18"/>
                <w:szCs w:val="18"/>
              </w:rPr>
            </w:pPr>
            <w:r w:rsidRPr="00B32F81">
              <w:rPr>
                <w:rFonts w:ascii="Calibri" w:hAnsi="Calibri" w:cs="Calibri"/>
                <w:color w:val="000000"/>
                <w:sz w:val="18"/>
                <w:szCs w:val="18"/>
              </w:rPr>
              <w:t>Account 555, Purchased Power Non-PURPA</w:t>
            </w:r>
          </w:p>
        </w:tc>
        <w:tc>
          <w:tcPr>
            <w:tcW w:w="1825" w:type="dxa"/>
            <w:tcBorders>
              <w:top w:val="nil"/>
              <w:left w:val="nil"/>
              <w:bottom w:val="nil"/>
              <w:right w:val="nil"/>
            </w:tcBorders>
            <w:shd w:val="clear" w:color="auto" w:fill="auto"/>
            <w:noWrap/>
            <w:vAlign w:val="bottom"/>
            <w:hideMark/>
          </w:tcPr>
          <w:p w14:paraId="476001EB" w14:textId="18A7C9C1" w:rsidR="008D2287" w:rsidRPr="008D2287" w:rsidRDefault="008D2287" w:rsidP="008D2287">
            <w:pPr>
              <w:jc w:val="right"/>
              <w:rPr>
                <w:rFonts w:asciiTheme="majorHAnsi" w:hAnsiTheme="majorHAnsi" w:cstheme="majorHAnsi"/>
                <w:color w:val="000000"/>
                <w:sz w:val="18"/>
                <w:szCs w:val="18"/>
              </w:rPr>
            </w:pPr>
            <w:r w:rsidRPr="008D2287">
              <w:rPr>
                <w:rFonts w:asciiTheme="majorHAnsi" w:hAnsiTheme="majorHAnsi" w:cstheme="majorHAnsi"/>
                <w:sz w:val="18"/>
                <w:szCs w:val="18"/>
              </w:rPr>
              <w:t xml:space="preserve"> $</w:t>
            </w:r>
            <w:r>
              <w:rPr>
                <w:rFonts w:asciiTheme="majorHAnsi" w:hAnsiTheme="majorHAnsi" w:cstheme="majorHAnsi"/>
                <w:sz w:val="18"/>
                <w:szCs w:val="18"/>
              </w:rPr>
              <w:t xml:space="preserve">     </w:t>
            </w:r>
            <w:r w:rsidRPr="008D2287">
              <w:rPr>
                <w:rFonts w:asciiTheme="majorHAnsi" w:hAnsiTheme="majorHAnsi" w:cstheme="majorHAnsi"/>
                <w:sz w:val="18"/>
                <w:szCs w:val="18"/>
              </w:rPr>
              <w:t>60,8</w:t>
            </w:r>
            <w:r w:rsidR="00CC3CB9">
              <w:rPr>
                <w:rFonts w:asciiTheme="majorHAnsi" w:hAnsiTheme="majorHAnsi" w:cstheme="majorHAnsi"/>
                <w:sz w:val="18"/>
                <w:szCs w:val="18"/>
              </w:rPr>
              <w:t>86</w:t>
            </w:r>
            <w:r w:rsidRPr="008D2287">
              <w:rPr>
                <w:rFonts w:asciiTheme="majorHAnsi" w:hAnsiTheme="majorHAnsi" w:cstheme="majorHAnsi"/>
                <w:sz w:val="18"/>
                <w:szCs w:val="18"/>
              </w:rPr>
              <w:t>,</w:t>
            </w:r>
            <w:r w:rsidR="00CC3CB9">
              <w:rPr>
                <w:rFonts w:asciiTheme="majorHAnsi" w:hAnsiTheme="majorHAnsi" w:cstheme="majorHAnsi"/>
                <w:sz w:val="18"/>
                <w:szCs w:val="18"/>
              </w:rPr>
              <w:t>095</w:t>
            </w:r>
            <w:r w:rsidRPr="008D2287">
              <w:rPr>
                <w:rFonts w:asciiTheme="majorHAnsi" w:hAnsiTheme="majorHAnsi" w:cstheme="majorHAnsi"/>
                <w:sz w:val="18"/>
                <w:szCs w:val="18"/>
              </w:rPr>
              <w:t xml:space="preserve"> </w:t>
            </w:r>
          </w:p>
        </w:tc>
        <w:tc>
          <w:tcPr>
            <w:tcW w:w="1714" w:type="dxa"/>
            <w:tcBorders>
              <w:top w:val="nil"/>
              <w:left w:val="nil"/>
              <w:bottom w:val="nil"/>
              <w:right w:val="nil"/>
            </w:tcBorders>
            <w:shd w:val="clear" w:color="auto" w:fill="auto"/>
            <w:noWrap/>
            <w:vAlign w:val="bottom"/>
            <w:hideMark/>
          </w:tcPr>
          <w:p w14:paraId="49366FEF" w14:textId="6722E989" w:rsidR="008D2287" w:rsidRPr="008D2287" w:rsidRDefault="008D2287" w:rsidP="008D2287">
            <w:pPr>
              <w:jc w:val="right"/>
              <w:rPr>
                <w:rFonts w:asciiTheme="majorHAnsi" w:hAnsiTheme="majorHAnsi" w:cstheme="majorHAnsi"/>
                <w:color w:val="000000"/>
                <w:sz w:val="18"/>
                <w:szCs w:val="18"/>
              </w:rPr>
            </w:pPr>
            <w:r w:rsidRPr="008D2287">
              <w:rPr>
                <w:rFonts w:asciiTheme="majorHAnsi" w:hAnsiTheme="majorHAnsi" w:cstheme="majorHAnsi"/>
                <w:sz w:val="18"/>
                <w:szCs w:val="18"/>
              </w:rPr>
              <w:t xml:space="preserve"> $</w:t>
            </w:r>
            <w:r>
              <w:rPr>
                <w:rFonts w:asciiTheme="majorHAnsi" w:hAnsiTheme="majorHAnsi" w:cstheme="majorHAnsi"/>
                <w:sz w:val="18"/>
                <w:szCs w:val="18"/>
              </w:rPr>
              <w:t xml:space="preserve">      </w:t>
            </w:r>
            <w:r w:rsidRPr="008D2287">
              <w:rPr>
                <w:rFonts w:asciiTheme="majorHAnsi" w:hAnsiTheme="majorHAnsi" w:cstheme="majorHAnsi"/>
                <w:sz w:val="18"/>
                <w:szCs w:val="18"/>
              </w:rPr>
              <w:t>57,8</w:t>
            </w:r>
            <w:r w:rsidR="00CC3CB9">
              <w:rPr>
                <w:rFonts w:asciiTheme="majorHAnsi" w:hAnsiTheme="majorHAnsi" w:cstheme="majorHAnsi"/>
                <w:sz w:val="18"/>
                <w:szCs w:val="18"/>
              </w:rPr>
              <w:t>41</w:t>
            </w:r>
            <w:r w:rsidRPr="008D2287">
              <w:rPr>
                <w:rFonts w:asciiTheme="majorHAnsi" w:hAnsiTheme="majorHAnsi" w:cstheme="majorHAnsi"/>
                <w:sz w:val="18"/>
                <w:szCs w:val="18"/>
              </w:rPr>
              <w:t>,</w:t>
            </w:r>
            <w:r w:rsidR="00CC3CB9">
              <w:rPr>
                <w:rFonts w:asciiTheme="majorHAnsi" w:hAnsiTheme="majorHAnsi" w:cstheme="majorHAnsi"/>
                <w:sz w:val="18"/>
                <w:szCs w:val="18"/>
              </w:rPr>
              <w:t>790</w:t>
            </w:r>
            <w:r w:rsidRPr="008D2287">
              <w:rPr>
                <w:rFonts w:asciiTheme="majorHAnsi" w:hAnsiTheme="majorHAnsi" w:cstheme="majorHAnsi"/>
                <w:sz w:val="18"/>
                <w:szCs w:val="18"/>
              </w:rPr>
              <w:t xml:space="preserve"> </w:t>
            </w:r>
          </w:p>
        </w:tc>
        <w:tc>
          <w:tcPr>
            <w:tcW w:w="1714" w:type="dxa"/>
            <w:tcBorders>
              <w:top w:val="nil"/>
              <w:left w:val="nil"/>
              <w:bottom w:val="nil"/>
              <w:right w:val="single" w:sz="4" w:space="0" w:color="auto"/>
            </w:tcBorders>
            <w:shd w:val="clear" w:color="auto" w:fill="auto"/>
            <w:noWrap/>
            <w:vAlign w:val="bottom"/>
            <w:hideMark/>
          </w:tcPr>
          <w:p w14:paraId="4870FC50" w14:textId="186C482B" w:rsidR="008D2287" w:rsidRPr="00F022E1" w:rsidRDefault="008D2287" w:rsidP="008D2287">
            <w:pPr>
              <w:jc w:val="right"/>
              <w:rPr>
                <w:rFonts w:asciiTheme="majorHAnsi" w:hAnsiTheme="majorHAnsi" w:cstheme="majorHAnsi"/>
                <w:color w:val="000000"/>
                <w:sz w:val="18"/>
                <w:szCs w:val="18"/>
              </w:rPr>
            </w:pPr>
            <w:r w:rsidRPr="00F022E1">
              <w:rPr>
                <w:rFonts w:ascii="Calibri" w:hAnsi="Calibri" w:cs="Calibri"/>
                <w:color w:val="000000"/>
                <w:sz w:val="18"/>
                <w:szCs w:val="18"/>
              </w:rPr>
              <w:t xml:space="preserve"> $       55,2</w:t>
            </w:r>
            <w:r w:rsidR="00CC3CB9" w:rsidRPr="00F022E1">
              <w:rPr>
                <w:rFonts w:ascii="Calibri" w:hAnsi="Calibri" w:cs="Calibri"/>
                <w:color w:val="000000"/>
                <w:sz w:val="18"/>
                <w:szCs w:val="18"/>
              </w:rPr>
              <w:t>50</w:t>
            </w:r>
            <w:r w:rsidRPr="00F022E1">
              <w:rPr>
                <w:rFonts w:ascii="Calibri" w:hAnsi="Calibri" w:cs="Calibri"/>
                <w:color w:val="000000"/>
                <w:sz w:val="18"/>
                <w:szCs w:val="18"/>
              </w:rPr>
              <w:t>,</w:t>
            </w:r>
            <w:r w:rsidR="00CC3CB9" w:rsidRPr="00F022E1">
              <w:rPr>
                <w:rFonts w:ascii="Calibri" w:hAnsi="Calibri" w:cs="Calibri"/>
                <w:color w:val="000000"/>
                <w:sz w:val="18"/>
                <w:szCs w:val="18"/>
              </w:rPr>
              <w:t>325</w:t>
            </w:r>
            <w:r w:rsidRPr="00F022E1">
              <w:rPr>
                <w:rFonts w:ascii="Calibri" w:hAnsi="Calibri" w:cs="Calibri"/>
                <w:color w:val="000000"/>
                <w:sz w:val="18"/>
                <w:szCs w:val="18"/>
              </w:rPr>
              <w:t xml:space="preserve"> </w:t>
            </w:r>
          </w:p>
        </w:tc>
      </w:tr>
      <w:tr w:rsidR="008D2287" w:rsidRPr="00B32F81" w14:paraId="77FAEA23" w14:textId="77777777" w:rsidTr="008D2287">
        <w:trPr>
          <w:trHeight w:val="300"/>
          <w:jc w:val="center"/>
        </w:trPr>
        <w:tc>
          <w:tcPr>
            <w:tcW w:w="840" w:type="dxa"/>
            <w:tcBorders>
              <w:top w:val="nil"/>
              <w:left w:val="single" w:sz="4" w:space="0" w:color="auto"/>
              <w:bottom w:val="nil"/>
              <w:right w:val="single" w:sz="4" w:space="0" w:color="auto"/>
            </w:tcBorders>
            <w:shd w:val="clear" w:color="auto" w:fill="auto"/>
            <w:noWrap/>
            <w:vAlign w:val="bottom"/>
            <w:hideMark/>
          </w:tcPr>
          <w:p w14:paraId="74B4C751" w14:textId="77777777" w:rsidR="008D2287" w:rsidRPr="00B32F81" w:rsidRDefault="008D2287" w:rsidP="008D2287">
            <w:pPr>
              <w:jc w:val="center"/>
              <w:rPr>
                <w:rFonts w:ascii="Calibri" w:hAnsi="Calibri" w:cs="Calibri"/>
                <w:color w:val="000000"/>
                <w:sz w:val="18"/>
                <w:szCs w:val="18"/>
              </w:rPr>
            </w:pPr>
            <w:r w:rsidRPr="00B32F81">
              <w:rPr>
                <w:rFonts w:ascii="Calibri" w:hAnsi="Calibri" w:cs="Calibri"/>
                <w:color w:val="000000"/>
                <w:sz w:val="18"/>
                <w:szCs w:val="18"/>
              </w:rPr>
              <w:t>5</w:t>
            </w:r>
          </w:p>
        </w:tc>
        <w:tc>
          <w:tcPr>
            <w:tcW w:w="3548" w:type="dxa"/>
            <w:tcBorders>
              <w:top w:val="nil"/>
              <w:left w:val="nil"/>
              <w:bottom w:val="nil"/>
              <w:right w:val="nil"/>
            </w:tcBorders>
            <w:shd w:val="clear" w:color="auto" w:fill="auto"/>
            <w:noWrap/>
            <w:vAlign w:val="bottom"/>
            <w:hideMark/>
          </w:tcPr>
          <w:p w14:paraId="564F5C45" w14:textId="77777777" w:rsidR="008D2287" w:rsidRPr="00B32F81" w:rsidRDefault="008D2287" w:rsidP="008D2287">
            <w:pPr>
              <w:rPr>
                <w:rFonts w:ascii="Calibri" w:hAnsi="Calibri" w:cs="Calibri"/>
                <w:color w:val="000000"/>
                <w:sz w:val="18"/>
                <w:szCs w:val="18"/>
              </w:rPr>
            </w:pPr>
            <w:r w:rsidRPr="00B32F81">
              <w:rPr>
                <w:rFonts w:ascii="Calibri" w:hAnsi="Calibri" w:cs="Calibri"/>
                <w:color w:val="000000"/>
                <w:sz w:val="18"/>
                <w:szCs w:val="18"/>
              </w:rPr>
              <w:t xml:space="preserve">Account 565, 3rd Party Transmission </w:t>
            </w:r>
          </w:p>
        </w:tc>
        <w:tc>
          <w:tcPr>
            <w:tcW w:w="1825" w:type="dxa"/>
            <w:tcBorders>
              <w:top w:val="nil"/>
              <w:left w:val="nil"/>
              <w:bottom w:val="nil"/>
              <w:right w:val="nil"/>
            </w:tcBorders>
            <w:shd w:val="clear" w:color="auto" w:fill="auto"/>
            <w:noWrap/>
            <w:vAlign w:val="bottom"/>
            <w:hideMark/>
          </w:tcPr>
          <w:p w14:paraId="3D93A7FF" w14:textId="4D984C0F" w:rsidR="008D2287" w:rsidRPr="008D2287" w:rsidRDefault="008D2287" w:rsidP="008D2287">
            <w:pPr>
              <w:jc w:val="right"/>
              <w:rPr>
                <w:rFonts w:asciiTheme="majorHAnsi" w:hAnsiTheme="majorHAnsi" w:cstheme="majorHAnsi"/>
                <w:color w:val="000000"/>
                <w:sz w:val="18"/>
                <w:szCs w:val="18"/>
              </w:rPr>
            </w:pPr>
            <w:r w:rsidRPr="008D2287">
              <w:rPr>
                <w:rFonts w:asciiTheme="majorHAnsi" w:hAnsiTheme="majorHAnsi" w:cstheme="majorHAnsi"/>
                <w:sz w:val="18"/>
                <w:szCs w:val="18"/>
              </w:rPr>
              <w:t xml:space="preserve"> $</w:t>
            </w:r>
            <w:r>
              <w:rPr>
                <w:rFonts w:asciiTheme="majorHAnsi" w:hAnsiTheme="majorHAnsi" w:cstheme="majorHAnsi"/>
                <w:sz w:val="18"/>
                <w:szCs w:val="18"/>
              </w:rPr>
              <w:t xml:space="preserve">       </w:t>
            </w:r>
            <w:r w:rsidRPr="008D2287">
              <w:rPr>
                <w:rFonts w:asciiTheme="majorHAnsi" w:hAnsiTheme="majorHAnsi" w:cstheme="majorHAnsi"/>
                <w:sz w:val="18"/>
                <w:szCs w:val="18"/>
              </w:rPr>
              <w:t xml:space="preserve">2,508,694 </w:t>
            </w:r>
          </w:p>
        </w:tc>
        <w:tc>
          <w:tcPr>
            <w:tcW w:w="1714" w:type="dxa"/>
            <w:tcBorders>
              <w:top w:val="nil"/>
              <w:left w:val="nil"/>
              <w:bottom w:val="nil"/>
              <w:right w:val="nil"/>
            </w:tcBorders>
            <w:shd w:val="clear" w:color="auto" w:fill="auto"/>
            <w:noWrap/>
            <w:vAlign w:val="bottom"/>
            <w:hideMark/>
          </w:tcPr>
          <w:p w14:paraId="64A0AED0" w14:textId="1F0845AC" w:rsidR="008D2287" w:rsidRPr="008D2287" w:rsidRDefault="008D2287" w:rsidP="008D2287">
            <w:pPr>
              <w:jc w:val="right"/>
              <w:rPr>
                <w:rFonts w:asciiTheme="majorHAnsi" w:hAnsiTheme="majorHAnsi" w:cstheme="majorHAnsi"/>
                <w:color w:val="000000"/>
                <w:sz w:val="18"/>
                <w:szCs w:val="18"/>
              </w:rPr>
            </w:pPr>
            <w:r w:rsidRPr="008D2287">
              <w:rPr>
                <w:rFonts w:asciiTheme="majorHAnsi" w:hAnsiTheme="majorHAnsi" w:cstheme="majorHAnsi"/>
                <w:sz w:val="18"/>
                <w:szCs w:val="18"/>
              </w:rPr>
              <w:t xml:space="preserve"> $</w:t>
            </w:r>
            <w:r>
              <w:rPr>
                <w:rFonts w:asciiTheme="majorHAnsi" w:hAnsiTheme="majorHAnsi" w:cstheme="majorHAnsi"/>
                <w:sz w:val="18"/>
                <w:szCs w:val="18"/>
              </w:rPr>
              <w:t xml:space="preserve">        </w:t>
            </w:r>
            <w:r w:rsidRPr="008D2287">
              <w:rPr>
                <w:rFonts w:asciiTheme="majorHAnsi" w:hAnsiTheme="majorHAnsi" w:cstheme="majorHAnsi"/>
                <w:sz w:val="18"/>
                <w:szCs w:val="18"/>
              </w:rPr>
              <w:t xml:space="preserve">2,383,259 </w:t>
            </w:r>
          </w:p>
        </w:tc>
        <w:tc>
          <w:tcPr>
            <w:tcW w:w="1714" w:type="dxa"/>
            <w:tcBorders>
              <w:top w:val="nil"/>
              <w:left w:val="nil"/>
              <w:bottom w:val="nil"/>
              <w:right w:val="single" w:sz="4" w:space="0" w:color="auto"/>
            </w:tcBorders>
            <w:shd w:val="clear" w:color="auto" w:fill="auto"/>
            <w:noWrap/>
            <w:vAlign w:val="bottom"/>
            <w:hideMark/>
          </w:tcPr>
          <w:p w14:paraId="035F3EDA" w14:textId="0D427418" w:rsidR="008D2287" w:rsidRPr="00F022E1" w:rsidRDefault="008D2287" w:rsidP="008D2287">
            <w:pPr>
              <w:jc w:val="right"/>
              <w:rPr>
                <w:rFonts w:asciiTheme="majorHAnsi" w:hAnsiTheme="majorHAnsi" w:cstheme="majorHAnsi"/>
                <w:color w:val="000000"/>
                <w:sz w:val="18"/>
                <w:szCs w:val="18"/>
              </w:rPr>
            </w:pPr>
            <w:r w:rsidRPr="00F022E1">
              <w:rPr>
                <w:rFonts w:ascii="Calibri" w:hAnsi="Calibri" w:cs="Calibri"/>
                <w:color w:val="000000"/>
                <w:sz w:val="18"/>
                <w:szCs w:val="18"/>
              </w:rPr>
              <w:t xml:space="preserve"> $         2,276,483 </w:t>
            </w:r>
          </w:p>
        </w:tc>
      </w:tr>
      <w:tr w:rsidR="008D2287" w:rsidRPr="00B32F81" w14:paraId="3D530FE4" w14:textId="77777777" w:rsidTr="008D2287">
        <w:trPr>
          <w:trHeight w:val="300"/>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6FF542B6" w14:textId="77777777" w:rsidR="008D2287" w:rsidRPr="00B32F81" w:rsidRDefault="008D2287" w:rsidP="008D2287">
            <w:pPr>
              <w:jc w:val="center"/>
              <w:rPr>
                <w:rFonts w:ascii="Calibri" w:hAnsi="Calibri" w:cs="Calibri"/>
                <w:color w:val="000000"/>
                <w:sz w:val="18"/>
                <w:szCs w:val="18"/>
              </w:rPr>
            </w:pPr>
            <w:r w:rsidRPr="00B32F81">
              <w:rPr>
                <w:rFonts w:ascii="Calibri" w:hAnsi="Calibri" w:cs="Calibri"/>
                <w:color w:val="000000"/>
                <w:sz w:val="18"/>
                <w:szCs w:val="18"/>
              </w:rPr>
              <w:t>6</w:t>
            </w:r>
          </w:p>
        </w:tc>
        <w:tc>
          <w:tcPr>
            <w:tcW w:w="3548" w:type="dxa"/>
            <w:tcBorders>
              <w:top w:val="nil"/>
              <w:left w:val="nil"/>
              <w:bottom w:val="single" w:sz="4" w:space="0" w:color="auto"/>
              <w:right w:val="nil"/>
            </w:tcBorders>
            <w:shd w:val="clear" w:color="auto" w:fill="auto"/>
            <w:noWrap/>
            <w:vAlign w:val="bottom"/>
            <w:hideMark/>
          </w:tcPr>
          <w:p w14:paraId="2F0D4604" w14:textId="77777777" w:rsidR="008D2287" w:rsidRPr="00B32F81" w:rsidRDefault="008D2287" w:rsidP="008D2287">
            <w:pPr>
              <w:rPr>
                <w:rFonts w:ascii="Calibri" w:hAnsi="Calibri" w:cs="Calibri"/>
                <w:color w:val="000000"/>
                <w:sz w:val="18"/>
                <w:szCs w:val="18"/>
              </w:rPr>
            </w:pPr>
            <w:r w:rsidRPr="00B32F81">
              <w:rPr>
                <w:rFonts w:ascii="Calibri" w:hAnsi="Calibri" w:cs="Calibri"/>
                <w:color w:val="000000"/>
                <w:sz w:val="18"/>
                <w:szCs w:val="18"/>
              </w:rPr>
              <w:t>Account 447, Surplus Sales</w:t>
            </w:r>
          </w:p>
        </w:tc>
        <w:tc>
          <w:tcPr>
            <w:tcW w:w="1825" w:type="dxa"/>
            <w:tcBorders>
              <w:top w:val="nil"/>
              <w:left w:val="nil"/>
              <w:bottom w:val="single" w:sz="4" w:space="0" w:color="auto"/>
              <w:right w:val="nil"/>
            </w:tcBorders>
            <w:shd w:val="clear" w:color="auto" w:fill="auto"/>
            <w:noWrap/>
            <w:vAlign w:val="bottom"/>
            <w:hideMark/>
          </w:tcPr>
          <w:p w14:paraId="2B43D1B5" w14:textId="59EBFEBC" w:rsidR="008D2287" w:rsidRPr="008D2287" w:rsidRDefault="008D2287" w:rsidP="008D2287">
            <w:pPr>
              <w:jc w:val="right"/>
              <w:rPr>
                <w:rFonts w:asciiTheme="majorHAnsi" w:hAnsiTheme="majorHAnsi" w:cstheme="majorHAnsi"/>
                <w:color w:val="000000"/>
                <w:sz w:val="18"/>
                <w:szCs w:val="18"/>
              </w:rPr>
            </w:pPr>
            <w:r w:rsidRPr="008D2287">
              <w:rPr>
                <w:rFonts w:asciiTheme="majorHAnsi" w:hAnsiTheme="majorHAnsi" w:cstheme="majorHAnsi"/>
                <w:sz w:val="18"/>
                <w:szCs w:val="18"/>
              </w:rPr>
              <w:t xml:space="preserve"> </w:t>
            </w:r>
            <w:r>
              <w:rPr>
                <w:rFonts w:asciiTheme="majorHAnsi" w:hAnsiTheme="majorHAnsi" w:cstheme="majorHAnsi"/>
                <w:sz w:val="18"/>
                <w:szCs w:val="18"/>
              </w:rPr>
              <w:t xml:space="preserve">   </w:t>
            </w:r>
            <w:r w:rsidRPr="008D2287">
              <w:rPr>
                <w:rFonts w:asciiTheme="majorHAnsi" w:hAnsiTheme="majorHAnsi" w:cstheme="majorHAnsi"/>
                <w:sz w:val="18"/>
                <w:szCs w:val="18"/>
              </w:rPr>
              <w:t>$</w:t>
            </w:r>
            <w:r>
              <w:rPr>
                <w:rFonts w:asciiTheme="majorHAnsi" w:hAnsiTheme="majorHAnsi" w:cstheme="majorHAnsi"/>
                <w:sz w:val="18"/>
                <w:szCs w:val="18"/>
              </w:rPr>
              <w:t xml:space="preserve">  </w:t>
            </w:r>
            <w:r w:rsidRPr="008D2287">
              <w:rPr>
                <w:rFonts w:asciiTheme="majorHAnsi" w:hAnsiTheme="majorHAnsi" w:cstheme="majorHAnsi"/>
                <w:sz w:val="18"/>
                <w:szCs w:val="18"/>
              </w:rPr>
              <w:t>(32,456,386)</w:t>
            </w:r>
          </w:p>
        </w:tc>
        <w:tc>
          <w:tcPr>
            <w:tcW w:w="1714" w:type="dxa"/>
            <w:tcBorders>
              <w:top w:val="nil"/>
              <w:left w:val="nil"/>
              <w:bottom w:val="single" w:sz="4" w:space="0" w:color="auto"/>
              <w:right w:val="nil"/>
            </w:tcBorders>
            <w:shd w:val="clear" w:color="auto" w:fill="auto"/>
            <w:noWrap/>
            <w:vAlign w:val="bottom"/>
            <w:hideMark/>
          </w:tcPr>
          <w:p w14:paraId="63D0E6D1" w14:textId="283E96FA" w:rsidR="008D2287" w:rsidRPr="008D2287" w:rsidRDefault="008D2287" w:rsidP="008D2287">
            <w:pPr>
              <w:jc w:val="right"/>
              <w:rPr>
                <w:rFonts w:asciiTheme="majorHAnsi" w:hAnsiTheme="majorHAnsi" w:cstheme="majorHAnsi"/>
                <w:color w:val="000000"/>
                <w:sz w:val="18"/>
                <w:szCs w:val="18"/>
              </w:rPr>
            </w:pPr>
            <w:r w:rsidRPr="008D2287">
              <w:rPr>
                <w:rFonts w:asciiTheme="majorHAnsi" w:hAnsiTheme="majorHAnsi" w:cstheme="majorHAnsi"/>
                <w:sz w:val="18"/>
                <w:szCs w:val="18"/>
              </w:rPr>
              <w:t xml:space="preserve"> $</w:t>
            </w:r>
            <w:r>
              <w:rPr>
                <w:rFonts w:asciiTheme="majorHAnsi" w:hAnsiTheme="majorHAnsi" w:cstheme="majorHAnsi"/>
                <w:sz w:val="18"/>
                <w:szCs w:val="18"/>
              </w:rPr>
              <w:t xml:space="preserve">   </w:t>
            </w:r>
            <w:r w:rsidRPr="008D2287">
              <w:rPr>
                <w:rFonts w:asciiTheme="majorHAnsi" w:hAnsiTheme="majorHAnsi" w:cstheme="majorHAnsi"/>
                <w:sz w:val="18"/>
                <w:szCs w:val="18"/>
              </w:rPr>
              <w:t>(30,833,566)</w:t>
            </w:r>
          </w:p>
        </w:tc>
        <w:tc>
          <w:tcPr>
            <w:tcW w:w="1714" w:type="dxa"/>
            <w:tcBorders>
              <w:top w:val="nil"/>
              <w:left w:val="nil"/>
              <w:bottom w:val="single" w:sz="4" w:space="0" w:color="auto"/>
              <w:right w:val="single" w:sz="4" w:space="0" w:color="auto"/>
            </w:tcBorders>
            <w:shd w:val="clear" w:color="auto" w:fill="auto"/>
            <w:noWrap/>
            <w:vAlign w:val="bottom"/>
            <w:hideMark/>
          </w:tcPr>
          <w:p w14:paraId="6033C680" w14:textId="08FC3BF4" w:rsidR="008D2287" w:rsidRPr="00F022E1" w:rsidRDefault="008D2287" w:rsidP="008D2287">
            <w:pPr>
              <w:jc w:val="right"/>
              <w:rPr>
                <w:rFonts w:asciiTheme="majorHAnsi" w:hAnsiTheme="majorHAnsi" w:cstheme="majorHAnsi"/>
                <w:color w:val="000000"/>
                <w:sz w:val="18"/>
                <w:szCs w:val="18"/>
              </w:rPr>
            </w:pPr>
            <w:r w:rsidRPr="00F022E1">
              <w:rPr>
                <w:rFonts w:ascii="Calibri" w:hAnsi="Calibri" w:cs="Calibri"/>
                <w:color w:val="000000"/>
                <w:sz w:val="18"/>
                <w:szCs w:val="18"/>
              </w:rPr>
              <w:t xml:space="preserve"> $    (29,452,141)</w:t>
            </w:r>
          </w:p>
        </w:tc>
      </w:tr>
      <w:tr w:rsidR="008D2287" w:rsidRPr="00B32F81" w14:paraId="52EABB69" w14:textId="77777777" w:rsidTr="008D2287">
        <w:trPr>
          <w:trHeight w:val="300"/>
          <w:jc w:val="center"/>
        </w:trPr>
        <w:tc>
          <w:tcPr>
            <w:tcW w:w="840" w:type="dxa"/>
            <w:tcBorders>
              <w:top w:val="nil"/>
              <w:left w:val="single" w:sz="4" w:space="0" w:color="auto"/>
              <w:bottom w:val="nil"/>
              <w:right w:val="single" w:sz="4" w:space="0" w:color="auto"/>
            </w:tcBorders>
            <w:shd w:val="clear" w:color="auto" w:fill="auto"/>
            <w:noWrap/>
            <w:vAlign w:val="bottom"/>
            <w:hideMark/>
          </w:tcPr>
          <w:p w14:paraId="36956D2E" w14:textId="77777777" w:rsidR="008D2287" w:rsidRPr="00B32F81" w:rsidRDefault="008D2287" w:rsidP="008D2287">
            <w:pPr>
              <w:jc w:val="center"/>
              <w:rPr>
                <w:rFonts w:ascii="Calibri" w:hAnsi="Calibri" w:cs="Calibri"/>
                <w:color w:val="000000"/>
                <w:sz w:val="18"/>
                <w:szCs w:val="18"/>
              </w:rPr>
            </w:pPr>
            <w:r w:rsidRPr="00B32F81">
              <w:rPr>
                <w:rFonts w:ascii="Calibri" w:hAnsi="Calibri" w:cs="Calibri"/>
                <w:color w:val="000000"/>
                <w:sz w:val="18"/>
                <w:szCs w:val="18"/>
              </w:rPr>
              <w:t> </w:t>
            </w:r>
          </w:p>
        </w:tc>
        <w:tc>
          <w:tcPr>
            <w:tcW w:w="3548" w:type="dxa"/>
            <w:tcBorders>
              <w:top w:val="nil"/>
              <w:left w:val="nil"/>
              <w:bottom w:val="nil"/>
              <w:right w:val="nil"/>
            </w:tcBorders>
            <w:shd w:val="clear" w:color="auto" w:fill="auto"/>
            <w:noWrap/>
            <w:vAlign w:val="bottom"/>
            <w:hideMark/>
          </w:tcPr>
          <w:p w14:paraId="1D8A3EE7" w14:textId="77777777" w:rsidR="008D2287" w:rsidRPr="00B32F81" w:rsidRDefault="008D2287" w:rsidP="008D2287">
            <w:pPr>
              <w:rPr>
                <w:rFonts w:ascii="Calibri" w:hAnsi="Calibri" w:cs="Calibri"/>
                <w:color w:val="000000"/>
                <w:sz w:val="18"/>
                <w:szCs w:val="18"/>
              </w:rPr>
            </w:pPr>
            <w:r w:rsidRPr="00B32F81">
              <w:rPr>
                <w:rFonts w:ascii="Calibri" w:hAnsi="Calibri" w:cs="Calibri"/>
                <w:color w:val="000000"/>
                <w:sz w:val="18"/>
                <w:szCs w:val="18"/>
              </w:rPr>
              <w:t> </w:t>
            </w:r>
          </w:p>
        </w:tc>
        <w:tc>
          <w:tcPr>
            <w:tcW w:w="1825" w:type="dxa"/>
            <w:tcBorders>
              <w:top w:val="nil"/>
              <w:left w:val="nil"/>
              <w:bottom w:val="nil"/>
              <w:right w:val="nil"/>
            </w:tcBorders>
            <w:shd w:val="clear" w:color="auto" w:fill="auto"/>
            <w:noWrap/>
            <w:vAlign w:val="bottom"/>
            <w:hideMark/>
          </w:tcPr>
          <w:p w14:paraId="5B9BD871" w14:textId="7FE6F7D0" w:rsidR="008D2287" w:rsidRPr="008D2287" w:rsidRDefault="008D2287" w:rsidP="008D2287">
            <w:pPr>
              <w:jc w:val="right"/>
              <w:rPr>
                <w:rFonts w:asciiTheme="majorHAnsi" w:hAnsiTheme="majorHAnsi" w:cstheme="majorHAnsi"/>
                <w:color w:val="000000"/>
                <w:sz w:val="18"/>
                <w:szCs w:val="18"/>
              </w:rPr>
            </w:pPr>
            <w:r w:rsidRPr="008D2287">
              <w:rPr>
                <w:rFonts w:asciiTheme="majorHAnsi" w:hAnsiTheme="majorHAnsi" w:cstheme="majorHAnsi"/>
                <w:sz w:val="18"/>
                <w:szCs w:val="18"/>
              </w:rPr>
              <w:t xml:space="preserve"> $</w:t>
            </w:r>
            <w:r>
              <w:rPr>
                <w:rFonts w:asciiTheme="majorHAnsi" w:hAnsiTheme="majorHAnsi" w:cstheme="majorHAnsi"/>
                <w:sz w:val="18"/>
                <w:szCs w:val="18"/>
              </w:rPr>
              <w:t xml:space="preserve">   </w:t>
            </w:r>
            <w:r w:rsidRPr="008D2287">
              <w:rPr>
                <w:rFonts w:asciiTheme="majorHAnsi" w:hAnsiTheme="majorHAnsi" w:cstheme="majorHAnsi"/>
                <w:sz w:val="18"/>
                <w:szCs w:val="18"/>
              </w:rPr>
              <w:t>151,</w:t>
            </w:r>
            <w:r w:rsidR="00CC3CB9">
              <w:rPr>
                <w:rFonts w:asciiTheme="majorHAnsi" w:hAnsiTheme="majorHAnsi" w:cstheme="majorHAnsi"/>
                <w:sz w:val="18"/>
                <w:szCs w:val="18"/>
              </w:rPr>
              <w:t>400</w:t>
            </w:r>
            <w:r w:rsidRPr="008D2287">
              <w:rPr>
                <w:rFonts w:asciiTheme="majorHAnsi" w:hAnsiTheme="majorHAnsi" w:cstheme="majorHAnsi"/>
                <w:sz w:val="18"/>
                <w:szCs w:val="18"/>
              </w:rPr>
              <w:t>,7</w:t>
            </w:r>
            <w:r w:rsidR="00CC3CB9">
              <w:rPr>
                <w:rFonts w:asciiTheme="majorHAnsi" w:hAnsiTheme="majorHAnsi" w:cstheme="majorHAnsi"/>
                <w:sz w:val="18"/>
                <w:szCs w:val="18"/>
              </w:rPr>
              <w:t>29</w:t>
            </w:r>
            <w:r w:rsidRPr="008D2287">
              <w:rPr>
                <w:rFonts w:asciiTheme="majorHAnsi" w:hAnsiTheme="majorHAnsi" w:cstheme="majorHAnsi"/>
                <w:sz w:val="18"/>
                <w:szCs w:val="18"/>
              </w:rPr>
              <w:t xml:space="preserve"> </w:t>
            </w:r>
          </w:p>
        </w:tc>
        <w:tc>
          <w:tcPr>
            <w:tcW w:w="1714" w:type="dxa"/>
            <w:tcBorders>
              <w:top w:val="nil"/>
              <w:left w:val="nil"/>
              <w:bottom w:val="nil"/>
              <w:right w:val="nil"/>
            </w:tcBorders>
            <w:shd w:val="clear" w:color="auto" w:fill="auto"/>
            <w:noWrap/>
            <w:vAlign w:val="bottom"/>
            <w:hideMark/>
          </w:tcPr>
          <w:p w14:paraId="04CB4D8E" w14:textId="71021E35" w:rsidR="008D2287" w:rsidRPr="008D2287" w:rsidRDefault="008D2287" w:rsidP="008D2287">
            <w:pPr>
              <w:jc w:val="right"/>
              <w:rPr>
                <w:rFonts w:asciiTheme="majorHAnsi" w:hAnsiTheme="majorHAnsi" w:cstheme="majorHAnsi"/>
                <w:color w:val="000000"/>
                <w:sz w:val="18"/>
                <w:szCs w:val="18"/>
              </w:rPr>
            </w:pPr>
            <w:r w:rsidRPr="008D2287">
              <w:rPr>
                <w:rFonts w:asciiTheme="majorHAnsi" w:hAnsiTheme="majorHAnsi" w:cstheme="majorHAnsi"/>
                <w:sz w:val="18"/>
                <w:szCs w:val="18"/>
              </w:rPr>
              <w:t xml:space="preserve"> $</w:t>
            </w:r>
            <w:r>
              <w:rPr>
                <w:rFonts w:asciiTheme="majorHAnsi" w:hAnsiTheme="majorHAnsi" w:cstheme="majorHAnsi"/>
                <w:sz w:val="18"/>
                <w:szCs w:val="18"/>
              </w:rPr>
              <w:t xml:space="preserve">    </w:t>
            </w:r>
            <w:r w:rsidRPr="008D2287">
              <w:rPr>
                <w:rFonts w:asciiTheme="majorHAnsi" w:hAnsiTheme="majorHAnsi" w:cstheme="majorHAnsi"/>
                <w:sz w:val="18"/>
                <w:szCs w:val="18"/>
              </w:rPr>
              <w:t>143,8</w:t>
            </w:r>
            <w:r w:rsidR="00CC3CB9">
              <w:rPr>
                <w:rFonts w:asciiTheme="majorHAnsi" w:hAnsiTheme="majorHAnsi" w:cstheme="majorHAnsi"/>
                <w:sz w:val="18"/>
                <w:szCs w:val="18"/>
              </w:rPr>
              <w:t>30</w:t>
            </w:r>
            <w:r w:rsidRPr="008D2287">
              <w:rPr>
                <w:rFonts w:asciiTheme="majorHAnsi" w:hAnsiTheme="majorHAnsi" w:cstheme="majorHAnsi"/>
                <w:sz w:val="18"/>
                <w:szCs w:val="18"/>
              </w:rPr>
              <w:t>,</w:t>
            </w:r>
            <w:r w:rsidR="00CC3CB9">
              <w:rPr>
                <w:rFonts w:asciiTheme="majorHAnsi" w:hAnsiTheme="majorHAnsi" w:cstheme="majorHAnsi"/>
                <w:sz w:val="18"/>
                <w:szCs w:val="18"/>
              </w:rPr>
              <w:t>692</w:t>
            </w:r>
            <w:r w:rsidRPr="008D2287">
              <w:rPr>
                <w:rFonts w:asciiTheme="majorHAnsi" w:hAnsiTheme="majorHAnsi" w:cstheme="majorHAnsi"/>
                <w:sz w:val="18"/>
                <w:szCs w:val="18"/>
              </w:rPr>
              <w:t xml:space="preserve"> </w:t>
            </w:r>
          </w:p>
        </w:tc>
        <w:tc>
          <w:tcPr>
            <w:tcW w:w="1714" w:type="dxa"/>
            <w:tcBorders>
              <w:top w:val="nil"/>
              <w:left w:val="nil"/>
              <w:bottom w:val="nil"/>
              <w:right w:val="single" w:sz="4" w:space="0" w:color="auto"/>
            </w:tcBorders>
            <w:shd w:val="clear" w:color="auto" w:fill="auto"/>
            <w:noWrap/>
            <w:vAlign w:val="bottom"/>
            <w:hideMark/>
          </w:tcPr>
          <w:p w14:paraId="066B06A6" w14:textId="4ADB64FF" w:rsidR="008D2287" w:rsidRPr="00F022E1" w:rsidRDefault="008D2287" w:rsidP="008D2287">
            <w:pPr>
              <w:jc w:val="right"/>
              <w:rPr>
                <w:rFonts w:asciiTheme="majorHAnsi" w:hAnsiTheme="majorHAnsi" w:cstheme="majorHAnsi"/>
                <w:color w:val="000000"/>
                <w:sz w:val="18"/>
                <w:szCs w:val="18"/>
              </w:rPr>
            </w:pPr>
            <w:r w:rsidRPr="00F022E1">
              <w:rPr>
                <w:rFonts w:ascii="Calibri" w:hAnsi="Calibri" w:cs="Calibri"/>
                <w:color w:val="000000"/>
                <w:sz w:val="18"/>
                <w:szCs w:val="18"/>
              </w:rPr>
              <w:t xml:space="preserve"> $     137,38</w:t>
            </w:r>
            <w:r w:rsidR="00CC3CB9" w:rsidRPr="00F022E1">
              <w:rPr>
                <w:rFonts w:ascii="Calibri" w:hAnsi="Calibri" w:cs="Calibri"/>
                <w:color w:val="000000"/>
                <w:sz w:val="18"/>
                <w:szCs w:val="18"/>
              </w:rPr>
              <w:t>6</w:t>
            </w:r>
            <w:r w:rsidRPr="00F022E1">
              <w:rPr>
                <w:rFonts w:ascii="Calibri" w:hAnsi="Calibri" w:cs="Calibri"/>
                <w:color w:val="000000"/>
                <w:sz w:val="18"/>
                <w:szCs w:val="18"/>
              </w:rPr>
              <w:t>,</w:t>
            </w:r>
            <w:r w:rsidR="00CC3CB9" w:rsidRPr="00F022E1">
              <w:rPr>
                <w:rFonts w:ascii="Calibri" w:hAnsi="Calibri" w:cs="Calibri"/>
                <w:color w:val="000000"/>
                <w:sz w:val="18"/>
                <w:szCs w:val="18"/>
              </w:rPr>
              <w:t>697</w:t>
            </w:r>
            <w:r w:rsidRPr="00F022E1">
              <w:rPr>
                <w:rFonts w:ascii="Calibri" w:hAnsi="Calibri" w:cs="Calibri"/>
                <w:color w:val="000000"/>
                <w:sz w:val="18"/>
                <w:szCs w:val="18"/>
              </w:rPr>
              <w:t xml:space="preserve"> </w:t>
            </w:r>
          </w:p>
        </w:tc>
      </w:tr>
      <w:tr w:rsidR="008D2287" w:rsidRPr="00B32F81" w14:paraId="3136A7B9" w14:textId="77777777" w:rsidTr="008D2287">
        <w:trPr>
          <w:trHeight w:val="300"/>
          <w:jc w:val="center"/>
        </w:trPr>
        <w:tc>
          <w:tcPr>
            <w:tcW w:w="840" w:type="dxa"/>
            <w:tcBorders>
              <w:top w:val="nil"/>
              <w:left w:val="single" w:sz="4" w:space="0" w:color="auto"/>
              <w:bottom w:val="nil"/>
              <w:right w:val="single" w:sz="4" w:space="0" w:color="auto"/>
            </w:tcBorders>
            <w:shd w:val="clear" w:color="auto" w:fill="auto"/>
            <w:noWrap/>
            <w:vAlign w:val="bottom"/>
            <w:hideMark/>
          </w:tcPr>
          <w:p w14:paraId="12249253" w14:textId="77777777" w:rsidR="008D2287" w:rsidRPr="00B32F81" w:rsidRDefault="008D2287" w:rsidP="008D2287">
            <w:pPr>
              <w:jc w:val="center"/>
              <w:rPr>
                <w:rFonts w:ascii="Calibri" w:hAnsi="Calibri" w:cs="Calibri"/>
                <w:color w:val="000000"/>
                <w:sz w:val="18"/>
                <w:szCs w:val="18"/>
              </w:rPr>
            </w:pPr>
            <w:r w:rsidRPr="00B32F81">
              <w:rPr>
                <w:rFonts w:ascii="Calibri" w:hAnsi="Calibri" w:cs="Calibri"/>
                <w:color w:val="000000"/>
                <w:sz w:val="18"/>
                <w:szCs w:val="18"/>
              </w:rPr>
              <w:t> </w:t>
            </w:r>
          </w:p>
        </w:tc>
        <w:tc>
          <w:tcPr>
            <w:tcW w:w="3548" w:type="dxa"/>
            <w:tcBorders>
              <w:top w:val="nil"/>
              <w:left w:val="nil"/>
              <w:bottom w:val="nil"/>
              <w:right w:val="nil"/>
            </w:tcBorders>
            <w:shd w:val="clear" w:color="auto" w:fill="auto"/>
            <w:noWrap/>
            <w:vAlign w:val="bottom"/>
            <w:hideMark/>
          </w:tcPr>
          <w:p w14:paraId="200E3233" w14:textId="77777777" w:rsidR="008D2287" w:rsidRPr="00B32F81" w:rsidRDefault="008D2287" w:rsidP="008D2287">
            <w:pPr>
              <w:rPr>
                <w:rFonts w:ascii="Calibri" w:hAnsi="Calibri" w:cs="Calibri"/>
                <w:color w:val="000000"/>
                <w:sz w:val="18"/>
                <w:szCs w:val="18"/>
              </w:rPr>
            </w:pPr>
            <w:r w:rsidRPr="00B32F81">
              <w:rPr>
                <w:rFonts w:ascii="Calibri" w:hAnsi="Calibri" w:cs="Calibri"/>
                <w:color w:val="000000"/>
                <w:sz w:val="18"/>
                <w:szCs w:val="18"/>
              </w:rPr>
              <w:t> </w:t>
            </w:r>
          </w:p>
        </w:tc>
        <w:tc>
          <w:tcPr>
            <w:tcW w:w="1825" w:type="dxa"/>
            <w:tcBorders>
              <w:top w:val="nil"/>
              <w:left w:val="nil"/>
              <w:bottom w:val="nil"/>
              <w:right w:val="nil"/>
            </w:tcBorders>
            <w:shd w:val="clear" w:color="auto" w:fill="auto"/>
            <w:noWrap/>
            <w:vAlign w:val="bottom"/>
            <w:hideMark/>
          </w:tcPr>
          <w:p w14:paraId="5BA8A345" w14:textId="77777777" w:rsidR="008D2287" w:rsidRPr="00B32F81" w:rsidRDefault="008D2287" w:rsidP="008D2287">
            <w:pPr>
              <w:jc w:val="right"/>
              <w:rPr>
                <w:rFonts w:ascii="Calibri" w:hAnsi="Calibri" w:cs="Calibri"/>
                <w:color w:val="000000"/>
                <w:sz w:val="18"/>
                <w:szCs w:val="18"/>
              </w:rPr>
            </w:pPr>
          </w:p>
        </w:tc>
        <w:tc>
          <w:tcPr>
            <w:tcW w:w="1714" w:type="dxa"/>
            <w:tcBorders>
              <w:top w:val="nil"/>
              <w:left w:val="nil"/>
              <w:bottom w:val="nil"/>
              <w:right w:val="nil"/>
            </w:tcBorders>
            <w:shd w:val="clear" w:color="auto" w:fill="auto"/>
            <w:noWrap/>
            <w:vAlign w:val="bottom"/>
            <w:hideMark/>
          </w:tcPr>
          <w:p w14:paraId="6F8C789D" w14:textId="77777777" w:rsidR="008D2287" w:rsidRPr="00B32F81" w:rsidRDefault="008D2287" w:rsidP="008D2287">
            <w:pPr>
              <w:jc w:val="right"/>
              <w:rPr>
                <w:rFonts w:ascii="Times New Roman" w:hAnsi="Times New Roman"/>
                <w:sz w:val="20"/>
              </w:rPr>
            </w:pPr>
          </w:p>
        </w:tc>
        <w:tc>
          <w:tcPr>
            <w:tcW w:w="1714" w:type="dxa"/>
            <w:tcBorders>
              <w:top w:val="nil"/>
              <w:left w:val="nil"/>
              <w:bottom w:val="nil"/>
              <w:right w:val="single" w:sz="4" w:space="0" w:color="auto"/>
            </w:tcBorders>
            <w:shd w:val="clear" w:color="auto" w:fill="auto"/>
            <w:noWrap/>
            <w:vAlign w:val="bottom"/>
            <w:hideMark/>
          </w:tcPr>
          <w:p w14:paraId="7AFC041C" w14:textId="54BFD421" w:rsidR="008D2287" w:rsidRPr="00F022E1" w:rsidRDefault="008D2287" w:rsidP="008D2287">
            <w:pPr>
              <w:jc w:val="right"/>
              <w:rPr>
                <w:rFonts w:ascii="Calibri" w:hAnsi="Calibri" w:cs="Calibri"/>
                <w:color w:val="000000"/>
                <w:sz w:val="18"/>
                <w:szCs w:val="18"/>
              </w:rPr>
            </w:pPr>
            <w:r w:rsidRPr="00F022E1">
              <w:rPr>
                <w:rFonts w:ascii="Calibri" w:hAnsi="Calibri" w:cs="Calibri"/>
                <w:color w:val="000000"/>
                <w:sz w:val="18"/>
                <w:szCs w:val="18"/>
              </w:rPr>
              <w:t> </w:t>
            </w:r>
          </w:p>
        </w:tc>
      </w:tr>
      <w:tr w:rsidR="008D2287" w:rsidRPr="00B32F81" w14:paraId="41130D4F" w14:textId="77777777" w:rsidTr="008D2287">
        <w:trPr>
          <w:trHeight w:val="300"/>
          <w:jc w:val="center"/>
        </w:trPr>
        <w:tc>
          <w:tcPr>
            <w:tcW w:w="840" w:type="dxa"/>
            <w:tcBorders>
              <w:top w:val="nil"/>
              <w:left w:val="single" w:sz="4" w:space="0" w:color="auto"/>
              <w:bottom w:val="nil"/>
              <w:right w:val="single" w:sz="4" w:space="0" w:color="auto"/>
            </w:tcBorders>
            <w:shd w:val="clear" w:color="auto" w:fill="auto"/>
            <w:noWrap/>
            <w:vAlign w:val="bottom"/>
            <w:hideMark/>
          </w:tcPr>
          <w:p w14:paraId="18CD404C" w14:textId="77777777" w:rsidR="008D2287" w:rsidRPr="00B32F81" w:rsidRDefault="008D2287" w:rsidP="008D2287">
            <w:pPr>
              <w:jc w:val="center"/>
              <w:rPr>
                <w:rFonts w:ascii="Calibri" w:hAnsi="Calibri" w:cs="Calibri"/>
                <w:color w:val="000000"/>
                <w:sz w:val="18"/>
                <w:szCs w:val="18"/>
              </w:rPr>
            </w:pPr>
            <w:r w:rsidRPr="00B32F81">
              <w:rPr>
                <w:rFonts w:ascii="Calibri" w:hAnsi="Calibri" w:cs="Calibri"/>
                <w:color w:val="000000"/>
                <w:sz w:val="18"/>
                <w:szCs w:val="18"/>
              </w:rPr>
              <w:t> </w:t>
            </w:r>
          </w:p>
        </w:tc>
        <w:tc>
          <w:tcPr>
            <w:tcW w:w="3548" w:type="dxa"/>
            <w:tcBorders>
              <w:top w:val="nil"/>
              <w:left w:val="nil"/>
              <w:bottom w:val="nil"/>
              <w:right w:val="nil"/>
            </w:tcBorders>
            <w:shd w:val="clear" w:color="auto" w:fill="auto"/>
            <w:noWrap/>
            <w:vAlign w:val="bottom"/>
            <w:hideMark/>
          </w:tcPr>
          <w:p w14:paraId="15286028" w14:textId="77777777" w:rsidR="008D2287" w:rsidRPr="00B32F81" w:rsidRDefault="008D2287" w:rsidP="008D2287">
            <w:pPr>
              <w:rPr>
                <w:rFonts w:ascii="Calibri" w:hAnsi="Calibri" w:cs="Calibri"/>
                <w:color w:val="000000"/>
                <w:sz w:val="18"/>
                <w:szCs w:val="18"/>
                <w:u w:val="single"/>
              </w:rPr>
            </w:pPr>
            <w:r w:rsidRPr="00B32F81">
              <w:rPr>
                <w:rFonts w:ascii="Calibri" w:hAnsi="Calibri" w:cs="Calibri"/>
                <w:color w:val="000000"/>
                <w:sz w:val="18"/>
                <w:szCs w:val="18"/>
                <w:u w:val="single"/>
              </w:rPr>
              <w:t>100% Sharing Accounts</w:t>
            </w:r>
          </w:p>
        </w:tc>
        <w:tc>
          <w:tcPr>
            <w:tcW w:w="1825" w:type="dxa"/>
            <w:tcBorders>
              <w:top w:val="nil"/>
              <w:left w:val="nil"/>
              <w:bottom w:val="nil"/>
              <w:right w:val="nil"/>
            </w:tcBorders>
            <w:shd w:val="clear" w:color="auto" w:fill="auto"/>
            <w:noWrap/>
            <w:vAlign w:val="bottom"/>
            <w:hideMark/>
          </w:tcPr>
          <w:p w14:paraId="48FD8904" w14:textId="77777777" w:rsidR="008D2287" w:rsidRPr="00B32F81" w:rsidRDefault="008D2287" w:rsidP="008D2287">
            <w:pPr>
              <w:jc w:val="right"/>
              <w:rPr>
                <w:rFonts w:ascii="Calibri" w:hAnsi="Calibri" w:cs="Calibri"/>
                <w:color w:val="000000"/>
                <w:sz w:val="18"/>
                <w:szCs w:val="18"/>
                <w:u w:val="single"/>
              </w:rPr>
            </w:pPr>
          </w:p>
        </w:tc>
        <w:tc>
          <w:tcPr>
            <w:tcW w:w="1714" w:type="dxa"/>
            <w:tcBorders>
              <w:top w:val="nil"/>
              <w:left w:val="nil"/>
              <w:bottom w:val="nil"/>
              <w:right w:val="nil"/>
            </w:tcBorders>
            <w:shd w:val="clear" w:color="auto" w:fill="auto"/>
            <w:noWrap/>
            <w:vAlign w:val="bottom"/>
            <w:hideMark/>
          </w:tcPr>
          <w:p w14:paraId="417E37EB" w14:textId="77777777" w:rsidR="008D2287" w:rsidRPr="00B32F81" w:rsidRDefault="008D2287" w:rsidP="008D2287">
            <w:pPr>
              <w:jc w:val="right"/>
              <w:rPr>
                <w:rFonts w:ascii="Times New Roman" w:hAnsi="Times New Roman"/>
                <w:sz w:val="20"/>
              </w:rPr>
            </w:pPr>
          </w:p>
        </w:tc>
        <w:tc>
          <w:tcPr>
            <w:tcW w:w="1714" w:type="dxa"/>
            <w:tcBorders>
              <w:top w:val="nil"/>
              <w:left w:val="nil"/>
              <w:bottom w:val="nil"/>
              <w:right w:val="single" w:sz="4" w:space="0" w:color="auto"/>
            </w:tcBorders>
            <w:shd w:val="clear" w:color="auto" w:fill="auto"/>
            <w:noWrap/>
            <w:vAlign w:val="bottom"/>
            <w:hideMark/>
          </w:tcPr>
          <w:p w14:paraId="22340791" w14:textId="6BF4FD87" w:rsidR="008D2287" w:rsidRPr="00F022E1" w:rsidRDefault="008D2287" w:rsidP="008D2287">
            <w:pPr>
              <w:jc w:val="right"/>
              <w:rPr>
                <w:rFonts w:ascii="Calibri" w:hAnsi="Calibri" w:cs="Calibri"/>
                <w:color w:val="000000"/>
                <w:sz w:val="18"/>
                <w:szCs w:val="18"/>
              </w:rPr>
            </w:pPr>
            <w:r w:rsidRPr="00F022E1">
              <w:rPr>
                <w:rFonts w:ascii="Calibri" w:hAnsi="Calibri" w:cs="Calibri"/>
                <w:color w:val="000000"/>
                <w:sz w:val="18"/>
                <w:szCs w:val="18"/>
              </w:rPr>
              <w:t> </w:t>
            </w:r>
          </w:p>
        </w:tc>
      </w:tr>
      <w:tr w:rsidR="008D2287" w:rsidRPr="00B32F81" w14:paraId="3974607F" w14:textId="77777777" w:rsidTr="008D2287">
        <w:trPr>
          <w:trHeight w:val="300"/>
          <w:jc w:val="center"/>
        </w:trPr>
        <w:tc>
          <w:tcPr>
            <w:tcW w:w="840" w:type="dxa"/>
            <w:tcBorders>
              <w:top w:val="nil"/>
              <w:left w:val="single" w:sz="4" w:space="0" w:color="auto"/>
              <w:bottom w:val="nil"/>
              <w:right w:val="single" w:sz="4" w:space="0" w:color="auto"/>
            </w:tcBorders>
            <w:shd w:val="clear" w:color="auto" w:fill="auto"/>
            <w:noWrap/>
            <w:vAlign w:val="bottom"/>
            <w:hideMark/>
          </w:tcPr>
          <w:p w14:paraId="12F25C0E" w14:textId="77777777" w:rsidR="008D2287" w:rsidRPr="00B32F81" w:rsidRDefault="008D2287" w:rsidP="008D2287">
            <w:pPr>
              <w:jc w:val="center"/>
              <w:rPr>
                <w:rFonts w:ascii="Calibri" w:hAnsi="Calibri" w:cs="Calibri"/>
                <w:color w:val="000000"/>
                <w:sz w:val="18"/>
                <w:szCs w:val="18"/>
              </w:rPr>
            </w:pPr>
            <w:r w:rsidRPr="00B32F81">
              <w:rPr>
                <w:rFonts w:ascii="Calibri" w:hAnsi="Calibri" w:cs="Calibri"/>
                <w:color w:val="000000"/>
                <w:sz w:val="18"/>
                <w:szCs w:val="18"/>
              </w:rPr>
              <w:t>7</w:t>
            </w:r>
          </w:p>
        </w:tc>
        <w:tc>
          <w:tcPr>
            <w:tcW w:w="3548" w:type="dxa"/>
            <w:tcBorders>
              <w:top w:val="nil"/>
              <w:left w:val="nil"/>
              <w:bottom w:val="nil"/>
              <w:right w:val="nil"/>
            </w:tcBorders>
            <w:shd w:val="clear" w:color="auto" w:fill="auto"/>
            <w:noWrap/>
            <w:vAlign w:val="bottom"/>
            <w:hideMark/>
          </w:tcPr>
          <w:p w14:paraId="76C23C15" w14:textId="77777777" w:rsidR="008D2287" w:rsidRPr="00B32F81" w:rsidRDefault="008D2287" w:rsidP="008D2287">
            <w:pPr>
              <w:rPr>
                <w:rFonts w:ascii="Calibri" w:hAnsi="Calibri" w:cs="Calibri"/>
                <w:color w:val="000000"/>
                <w:sz w:val="18"/>
                <w:szCs w:val="18"/>
              </w:rPr>
            </w:pPr>
            <w:r w:rsidRPr="00B32F81">
              <w:rPr>
                <w:rFonts w:ascii="Calibri" w:hAnsi="Calibri" w:cs="Calibri"/>
                <w:color w:val="000000"/>
                <w:sz w:val="18"/>
                <w:szCs w:val="18"/>
              </w:rPr>
              <w:t>Account 555, PURPA</w:t>
            </w:r>
          </w:p>
        </w:tc>
        <w:tc>
          <w:tcPr>
            <w:tcW w:w="1825" w:type="dxa"/>
            <w:tcBorders>
              <w:top w:val="nil"/>
              <w:left w:val="nil"/>
              <w:bottom w:val="nil"/>
              <w:right w:val="nil"/>
            </w:tcBorders>
            <w:shd w:val="clear" w:color="auto" w:fill="auto"/>
            <w:noWrap/>
            <w:vAlign w:val="bottom"/>
            <w:hideMark/>
          </w:tcPr>
          <w:p w14:paraId="1487D7E9" w14:textId="04607AB6" w:rsidR="008D2287" w:rsidRPr="008D2287" w:rsidRDefault="008D2287" w:rsidP="008D2287">
            <w:pPr>
              <w:jc w:val="right"/>
              <w:rPr>
                <w:rFonts w:asciiTheme="majorHAnsi" w:hAnsiTheme="majorHAnsi" w:cstheme="majorHAnsi"/>
                <w:color w:val="000000"/>
                <w:sz w:val="18"/>
                <w:szCs w:val="18"/>
              </w:rPr>
            </w:pPr>
            <w:r w:rsidRPr="008D2287">
              <w:rPr>
                <w:rFonts w:asciiTheme="majorHAnsi" w:hAnsiTheme="majorHAnsi" w:cstheme="majorHAnsi"/>
                <w:sz w:val="18"/>
                <w:szCs w:val="18"/>
              </w:rPr>
              <w:t xml:space="preserve"> $</w:t>
            </w:r>
            <w:r>
              <w:rPr>
                <w:rFonts w:asciiTheme="majorHAnsi" w:hAnsiTheme="majorHAnsi" w:cstheme="majorHAnsi"/>
                <w:sz w:val="18"/>
                <w:szCs w:val="18"/>
              </w:rPr>
              <w:t xml:space="preserve">     </w:t>
            </w:r>
            <w:r w:rsidRPr="008D2287">
              <w:rPr>
                <w:rFonts w:asciiTheme="majorHAnsi" w:hAnsiTheme="majorHAnsi" w:cstheme="majorHAnsi"/>
                <w:sz w:val="18"/>
                <w:szCs w:val="18"/>
              </w:rPr>
              <w:t xml:space="preserve">84,681,543 </w:t>
            </w:r>
          </w:p>
        </w:tc>
        <w:tc>
          <w:tcPr>
            <w:tcW w:w="1714" w:type="dxa"/>
            <w:tcBorders>
              <w:top w:val="nil"/>
              <w:left w:val="nil"/>
              <w:bottom w:val="nil"/>
              <w:right w:val="nil"/>
            </w:tcBorders>
            <w:shd w:val="clear" w:color="auto" w:fill="auto"/>
            <w:noWrap/>
            <w:vAlign w:val="bottom"/>
            <w:hideMark/>
          </w:tcPr>
          <w:p w14:paraId="3A72B6E0" w14:textId="47CAC4B7" w:rsidR="008D2287" w:rsidRPr="008D2287" w:rsidRDefault="008D2287" w:rsidP="008D2287">
            <w:pPr>
              <w:jc w:val="right"/>
              <w:rPr>
                <w:rFonts w:asciiTheme="majorHAnsi" w:hAnsiTheme="majorHAnsi" w:cstheme="majorHAnsi"/>
                <w:color w:val="000000"/>
                <w:sz w:val="18"/>
                <w:szCs w:val="18"/>
              </w:rPr>
            </w:pPr>
            <w:r w:rsidRPr="008D2287">
              <w:rPr>
                <w:rFonts w:asciiTheme="majorHAnsi" w:hAnsiTheme="majorHAnsi" w:cstheme="majorHAnsi"/>
                <w:sz w:val="18"/>
                <w:szCs w:val="18"/>
              </w:rPr>
              <w:t xml:space="preserve"> $</w:t>
            </w:r>
            <w:r>
              <w:rPr>
                <w:rFonts w:asciiTheme="majorHAnsi" w:hAnsiTheme="majorHAnsi" w:cstheme="majorHAnsi"/>
                <w:sz w:val="18"/>
                <w:szCs w:val="18"/>
              </w:rPr>
              <w:t xml:space="preserve">     </w:t>
            </w:r>
            <w:r w:rsidRPr="008D2287">
              <w:rPr>
                <w:rFonts w:asciiTheme="majorHAnsi" w:hAnsiTheme="majorHAnsi" w:cstheme="majorHAnsi"/>
                <w:sz w:val="18"/>
                <w:szCs w:val="18"/>
              </w:rPr>
              <w:t xml:space="preserve">84,681,543 </w:t>
            </w:r>
          </w:p>
        </w:tc>
        <w:tc>
          <w:tcPr>
            <w:tcW w:w="1714" w:type="dxa"/>
            <w:tcBorders>
              <w:top w:val="nil"/>
              <w:left w:val="nil"/>
              <w:bottom w:val="nil"/>
              <w:right w:val="single" w:sz="4" w:space="0" w:color="auto"/>
            </w:tcBorders>
            <w:shd w:val="clear" w:color="auto" w:fill="auto"/>
            <w:noWrap/>
            <w:vAlign w:val="bottom"/>
            <w:hideMark/>
          </w:tcPr>
          <w:p w14:paraId="5DDE6FD0" w14:textId="496D5DE0" w:rsidR="008D2287" w:rsidRPr="00F022E1" w:rsidRDefault="008D2287" w:rsidP="008D2287">
            <w:pPr>
              <w:jc w:val="right"/>
              <w:rPr>
                <w:rFonts w:asciiTheme="majorHAnsi" w:hAnsiTheme="majorHAnsi" w:cstheme="majorHAnsi"/>
                <w:color w:val="000000"/>
                <w:sz w:val="18"/>
                <w:szCs w:val="18"/>
              </w:rPr>
            </w:pPr>
            <w:r w:rsidRPr="00F022E1">
              <w:rPr>
                <w:rFonts w:ascii="Calibri" w:hAnsi="Calibri" w:cs="Calibri"/>
                <w:color w:val="000000"/>
                <w:sz w:val="18"/>
                <w:szCs w:val="18"/>
              </w:rPr>
              <w:t xml:space="preserve"> $       80,887,586 </w:t>
            </w:r>
          </w:p>
        </w:tc>
      </w:tr>
      <w:tr w:rsidR="008D2287" w:rsidRPr="00B32F81" w14:paraId="3E4A4ADB" w14:textId="77777777" w:rsidTr="008D2287">
        <w:trPr>
          <w:trHeight w:val="315"/>
          <w:jc w:val="center"/>
        </w:trPr>
        <w:tc>
          <w:tcPr>
            <w:tcW w:w="840" w:type="dxa"/>
            <w:tcBorders>
              <w:top w:val="nil"/>
              <w:left w:val="single" w:sz="4" w:space="0" w:color="auto"/>
              <w:bottom w:val="double" w:sz="6" w:space="0" w:color="auto"/>
              <w:right w:val="single" w:sz="4" w:space="0" w:color="auto"/>
            </w:tcBorders>
            <w:shd w:val="clear" w:color="auto" w:fill="auto"/>
            <w:noWrap/>
            <w:vAlign w:val="bottom"/>
            <w:hideMark/>
          </w:tcPr>
          <w:p w14:paraId="40A6AB1F" w14:textId="77777777" w:rsidR="008D2287" w:rsidRPr="00B32F81" w:rsidRDefault="008D2287" w:rsidP="008D2287">
            <w:pPr>
              <w:jc w:val="center"/>
              <w:rPr>
                <w:rFonts w:ascii="Calibri" w:hAnsi="Calibri" w:cs="Calibri"/>
                <w:color w:val="000000"/>
                <w:sz w:val="18"/>
                <w:szCs w:val="18"/>
              </w:rPr>
            </w:pPr>
            <w:r w:rsidRPr="00B32F81">
              <w:rPr>
                <w:rFonts w:ascii="Calibri" w:hAnsi="Calibri" w:cs="Calibri"/>
                <w:color w:val="000000"/>
                <w:sz w:val="18"/>
                <w:szCs w:val="18"/>
              </w:rPr>
              <w:t>8</w:t>
            </w:r>
          </w:p>
        </w:tc>
        <w:tc>
          <w:tcPr>
            <w:tcW w:w="3548" w:type="dxa"/>
            <w:tcBorders>
              <w:top w:val="nil"/>
              <w:left w:val="nil"/>
              <w:bottom w:val="double" w:sz="6" w:space="0" w:color="auto"/>
              <w:right w:val="nil"/>
            </w:tcBorders>
            <w:shd w:val="clear" w:color="auto" w:fill="auto"/>
            <w:noWrap/>
            <w:vAlign w:val="bottom"/>
            <w:hideMark/>
          </w:tcPr>
          <w:p w14:paraId="54FFACF0" w14:textId="77777777" w:rsidR="008D2287" w:rsidRPr="00B32F81" w:rsidRDefault="008D2287" w:rsidP="008D2287">
            <w:pPr>
              <w:rPr>
                <w:rFonts w:ascii="Calibri" w:hAnsi="Calibri" w:cs="Calibri"/>
                <w:color w:val="000000"/>
                <w:sz w:val="18"/>
                <w:szCs w:val="18"/>
              </w:rPr>
            </w:pPr>
            <w:r w:rsidRPr="00B32F81">
              <w:rPr>
                <w:rFonts w:ascii="Calibri" w:hAnsi="Calibri" w:cs="Calibri"/>
                <w:color w:val="000000"/>
                <w:sz w:val="18"/>
                <w:szCs w:val="18"/>
              </w:rPr>
              <w:t>Account 555, Demand Response Incentives</w:t>
            </w:r>
          </w:p>
        </w:tc>
        <w:tc>
          <w:tcPr>
            <w:tcW w:w="1825" w:type="dxa"/>
            <w:tcBorders>
              <w:top w:val="nil"/>
              <w:left w:val="nil"/>
              <w:bottom w:val="double" w:sz="6" w:space="0" w:color="auto"/>
              <w:right w:val="nil"/>
            </w:tcBorders>
            <w:shd w:val="clear" w:color="auto" w:fill="auto"/>
            <w:noWrap/>
            <w:vAlign w:val="bottom"/>
            <w:hideMark/>
          </w:tcPr>
          <w:p w14:paraId="6F9A4382" w14:textId="48DB3C50" w:rsidR="008D2287" w:rsidRPr="008D2287" w:rsidRDefault="008D2287" w:rsidP="008D2287">
            <w:pPr>
              <w:jc w:val="right"/>
              <w:rPr>
                <w:rFonts w:asciiTheme="majorHAnsi" w:hAnsiTheme="majorHAnsi" w:cstheme="majorHAnsi"/>
                <w:color w:val="000000"/>
                <w:sz w:val="18"/>
                <w:szCs w:val="18"/>
              </w:rPr>
            </w:pPr>
            <w:r w:rsidRPr="008D2287">
              <w:rPr>
                <w:rFonts w:asciiTheme="majorHAnsi" w:hAnsiTheme="majorHAnsi" w:cstheme="majorHAnsi"/>
                <w:sz w:val="18"/>
                <w:szCs w:val="18"/>
              </w:rPr>
              <w:t xml:space="preserve"> $</w:t>
            </w:r>
            <w:r>
              <w:rPr>
                <w:rFonts w:asciiTheme="majorHAnsi" w:hAnsiTheme="majorHAnsi" w:cstheme="majorHAnsi"/>
                <w:sz w:val="18"/>
                <w:szCs w:val="18"/>
              </w:rPr>
              <w:t xml:space="preserve">        </w:t>
            </w:r>
            <w:r w:rsidRPr="008D2287">
              <w:rPr>
                <w:rFonts w:asciiTheme="majorHAnsi" w:hAnsiTheme="majorHAnsi" w:cstheme="majorHAnsi"/>
                <w:sz w:val="18"/>
                <w:szCs w:val="18"/>
              </w:rPr>
              <w:t>(267,757)</w:t>
            </w:r>
          </w:p>
        </w:tc>
        <w:tc>
          <w:tcPr>
            <w:tcW w:w="1714" w:type="dxa"/>
            <w:tcBorders>
              <w:top w:val="nil"/>
              <w:left w:val="nil"/>
              <w:bottom w:val="double" w:sz="6" w:space="0" w:color="auto"/>
              <w:right w:val="nil"/>
            </w:tcBorders>
            <w:shd w:val="clear" w:color="auto" w:fill="auto"/>
            <w:noWrap/>
            <w:vAlign w:val="bottom"/>
            <w:hideMark/>
          </w:tcPr>
          <w:p w14:paraId="0C1CC7A5" w14:textId="41D258C5" w:rsidR="008D2287" w:rsidRPr="008D2287" w:rsidRDefault="008D2287" w:rsidP="008D2287">
            <w:pPr>
              <w:jc w:val="right"/>
              <w:rPr>
                <w:rFonts w:asciiTheme="majorHAnsi" w:hAnsiTheme="majorHAnsi" w:cstheme="majorHAnsi"/>
                <w:color w:val="000000"/>
                <w:sz w:val="18"/>
                <w:szCs w:val="18"/>
              </w:rPr>
            </w:pPr>
            <w:r w:rsidRPr="008D2287">
              <w:rPr>
                <w:rFonts w:asciiTheme="majorHAnsi" w:hAnsiTheme="majorHAnsi" w:cstheme="majorHAnsi"/>
                <w:sz w:val="18"/>
                <w:szCs w:val="18"/>
              </w:rPr>
              <w:t xml:space="preserve"> $</w:t>
            </w:r>
            <w:r>
              <w:rPr>
                <w:rFonts w:asciiTheme="majorHAnsi" w:hAnsiTheme="majorHAnsi" w:cstheme="majorHAnsi"/>
                <w:sz w:val="18"/>
                <w:szCs w:val="18"/>
              </w:rPr>
              <w:t xml:space="preserve">        </w:t>
            </w:r>
            <w:r w:rsidRPr="008D2287">
              <w:rPr>
                <w:rFonts w:asciiTheme="majorHAnsi" w:hAnsiTheme="majorHAnsi" w:cstheme="majorHAnsi"/>
                <w:sz w:val="18"/>
                <w:szCs w:val="18"/>
              </w:rPr>
              <w:t>(267,757)</w:t>
            </w:r>
          </w:p>
        </w:tc>
        <w:tc>
          <w:tcPr>
            <w:tcW w:w="1714" w:type="dxa"/>
            <w:tcBorders>
              <w:top w:val="nil"/>
              <w:left w:val="nil"/>
              <w:bottom w:val="double" w:sz="6" w:space="0" w:color="auto"/>
              <w:right w:val="single" w:sz="4" w:space="0" w:color="auto"/>
            </w:tcBorders>
            <w:shd w:val="clear" w:color="auto" w:fill="auto"/>
            <w:noWrap/>
            <w:vAlign w:val="bottom"/>
            <w:hideMark/>
          </w:tcPr>
          <w:p w14:paraId="4723AA55" w14:textId="5EEEC4AE" w:rsidR="008D2287" w:rsidRPr="00F022E1" w:rsidRDefault="008D2287" w:rsidP="008D2287">
            <w:pPr>
              <w:jc w:val="right"/>
              <w:rPr>
                <w:rFonts w:asciiTheme="majorHAnsi" w:hAnsiTheme="majorHAnsi" w:cstheme="majorHAnsi"/>
                <w:color w:val="000000"/>
                <w:sz w:val="18"/>
                <w:szCs w:val="18"/>
              </w:rPr>
            </w:pPr>
            <w:r w:rsidRPr="00F022E1">
              <w:rPr>
                <w:rFonts w:ascii="Calibri" w:hAnsi="Calibri" w:cs="Calibri"/>
                <w:color w:val="000000"/>
                <w:sz w:val="18"/>
                <w:szCs w:val="18"/>
              </w:rPr>
              <w:t xml:space="preserve"> $          (267,757)</w:t>
            </w:r>
          </w:p>
        </w:tc>
      </w:tr>
      <w:tr w:rsidR="008D2287" w:rsidRPr="00B32F81" w14:paraId="6EC4611A" w14:textId="77777777" w:rsidTr="008D2287">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43269471" w14:textId="77777777" w:rsidR="008D2287" w:rsidRPr="00B32F81" w:rsidRDefault="008D2287" w:rsidP="008D2287">
            <w:pPr>
              <w:jc w:val="center"/>
              <w:rPr>
                <w:rFonts w:ascii="Calibri" w:hAnsi="Calibri" w:cs="Calibri"/>
                <w:color w:val="000000"/>
                <w:sz w:val="18"/>
                <w:szCs w:val="18"/>
              </w:rPr>
            </w:pPr>
            <w:r w:rsidRPr="00B32F81">
              <w:rPr>
                <w:rFonts w:ascii="Calibri" w:hAnsi="Calibri" w:cs="Calibri"/>
                <w:color w:val="000000"/>
                <w:sz w:val="18"/>
                <w:szCs w:val="18"/>
              </w:rPr>
              <w:t>9</w:t>
            </w:r>
          </w:p>
        </w:tc>
        <w:tc>
          <w:tcPr>
            <w:tcW w:w="3548" w:type="dxa"/>
            <w:tcBorders>
              <w:top w:val="nil"/>
              <w:left w:val="nil"/>
              <w:bottom w:val="single" w:sz="4" w:space="0" w:color="auto"/>
              <w:right w:val="nil"/>
            </w:tcBorders>
            <w:shd w:val="clear" w:color="auto" w:fill="auto"/>
            <w:noWrap/>
            <w:vAlign w:val="bottom"/>
            <w:hideMark/>
          </w:tcPr>
          <w:p w14:paraId="3A198792" w14:textId="77777777" w:rsidR="008D2287" w:rsidRPr="00B32F81" w:rsidRDefault="008D2287" w:rsidP="008D2287">
            <w:pPr>
              <w:rPr>
                <w:rFonts w:ascii="Calibri" w:hAnsi="Calibri" w:cs="Calibri"/>
                <w:color w:val="000000"/>
                <w:sz w:val="18"/>
                <w:szCs w:val="18"/>
              </w:rPr>
            </w:pPr>
            <w:r w:rsidRPr="00B32F81">
              <w:rPr>
                <w:rFonts w:ascii="Calibri" w:hAnsi="Calibri" w:cs="Calibri"/>
                <w:color w:val="000000"/>
                <w:sz w:val="18"/>
                <w:szCs w:val="18"/>
              </w:rPr>
              <w:t>Total</w:t>
            </w:r>
          </w:p>
        </w:tc>
        <w:tc>
          <w:tcPr>
            <w:tcW w:w="1825" w:type="dxa"/>
            <w:tcBorders>
              <w:top w:val="nil"/>
              <w:left w:val="nil"/>
              <w:bottom w:val="single" w:sz="4" w:space="0" w:color="auto"/>
              <w:right w:val="nil"/>
            </w:tcBorders>
            <w:shd w:val="clear" w:color="auto" w:fill="auto"/>
            <w:noWrap/>
            <w:vAlign w:val="bottom"/>
            <w:hideMark/>
          </w:tcPr>
          <w:p w14:paraId="0072C1B0" w14:textId="6246609A" w:rsidR="008D2287" w:rsidRPr="008D2287" w:rsidRDefault="008D2287" w:rsidP="008D2287">
            <w:pPr>
              <w:jc w:val="right"/>
              <w:rPr>
                <w:rFonts w:asciiTheme="majorHAnsi" w:hAnsiTheme="majorHAnsi" w:cstheme="majorHAnsi"/>
                <w:color w:val="000000"/>
                <w:sz w:val="18"/>
                <w:szCs w:val="18"/>
              </w:rPr>
            </w:pPr>
            <w:r w:rsidRPr="008D2287">
              <w:rPr>
                <w:rFonts w:asciiTheme="majorHAnsi" w:hAnsiTheme="majorHAnsi" w:cstheme="majorHAnsi"/>
                <w:sz w:val="18"/>
                <w:szCs w:val="18"/>
              </w:rPr>
              <w:t xml:space="preserve"> $</w:t>
            </w:r>
            <w:r>
              <w:rPr>
                <w:rFonts w:asciiTheme="majorHAnsi" w:hAnsiTheme="majorHAnsi" w:cstheme="majorHAnsi"/>
                <w:sz w:val="18"/>
                <w:szCs w:val="18"/>
              </w:rPr>
              <w:t xml:space="preserve">   </w:t>
            </w:r>
            <w:r w:rsidRPr="008D2287">
              <w:rPr>
                <w:rFonts w:asciiTheme="majorHAnsi" w:hAnsiTheme="majorHAnsi" w:cstheme="majorHAnsi"/>
                <w:sz w:val="18"/>
                <w:szCs w:val="18"/>
              </w:rPr>
              <w:t>235,8</w:t>
            </w:r>
            <w:r w:rsidR="00CC3CB9">
              <w:rPr>
                <w:rFonts w:asciiTheme="majorHAnsi" w:hAnsiTheme="majorHAnsi" w:cstheme="majorHAnsi"/>
                <w:sz w:val="18"/>
                <w:szCs w:val="18"/>
              </w:rPr>
              <w:t>14</w:t>
            </w:r>
            <w:r w:rsidRPr="008D2287">
              <w:rPr>
                <w:rFonts w:asciiTheme="majorHAnsi" w:hAnsiTheme="majorHAnsi" w:cstheme="majorHAnsi"/>
                <w:sz w:val="18"/>
                <w:szCs w:val="18"/>
              </w:rPr>
              <w:t>,5</w:t>
            </w:r>
            <w:r w:rsidR="00CC3CB9">
              <w:rPr>
                <w:rFonts w:asciiTheme="majorHAnsi" w:hAnsiTheme="majorHAnsi" w:cstheme="majorHAnsi"/>
                <w:sz w:val="18"/>
                <w:szCs w:val="18"/>
              </w:rPr>
              <w:t>15</w:t>
            </w:r>
            <w:r w:rsidRPr="008D2287">
              <w:rPr>
                <w:rFonts w:asciiTheme="majorHAnsi" w:hAnsiTheme="majorHAnsi" w:cstheme="majorHAnsi"/>
                <w:sz w:val="18"/>
                <w:szCs w:val="18"/>
              </w:rPr>
              <w:t xml:space="preserve"> </w:t>
            </w:r>
          </w:p>
        </w:tc>
        <w:tc>
          <w:tcPr>
            <w:tcW w:w="1714" w:type="dxa"/>
            <w:tcBorders>
              <w:top w:val="nil"/>
              <w:left w:val="nil"/>
              <w:bottom w:val="single" w:sz="4" w:space="0" w:color="auto"/>
              <w:right w:val="nil"/>
            </w:tcBorders>
            <w:shd w:val="clear" w:color="auto" w:fill="auto"/>
            <w:noWrap/>
            <w:vAlign w:val="bottom"/>
            <w:hideMark/>
          </w:tcPr>
          <w:p w14:paraId="4D7D21A7" w14:textId="6CE8D583" w:rsidR="008D2287" w:rsidRPr="008D2287" w:rsidRDefault="008D2287" w:rsidP="008D2287">
            <w:pPr>
              <w:jc w:val="right"/>
              <w:rPr>
                <w:rFonts w:asciiTheme="majorHAnsi" w:hAnsiTheme="majorHAnsi" w:cstheme="majorHAnsi"/>
                <w:color w:val="000000"/>
                <w:sz w:val="18"/>
                <w:szCs w:val="18"/>
              </w:rPr>
            </w:pPr>
            <w:r w:rsidRPr="008D2287">
              <w:rPr>
                <w:rFonts w:asciiTheme="majorHAnsi" w:hAnsiTheme="majorHAnsi" w:cstheme="majorHAnsi"/>
                <w:sz w:val="18"/>
                <w:szCs w:val="18"/>
              </w:rPr>
              <w:t xml:space="preserve"> $</w:t>
            </w:r>
            <w:r>
              <w:rPr>
                <w:rFonts w:asciiTheme="majorHAnsi" w:hAnsiTheme="majorHAnsi" w:cstheme="majorHAnsi"/>
                <w:sz w:val="18"/>
                <w:szCs w:val="18"/>
              </w:rPr>
              <w:t xml:space="preserve">   </w:t>
            </w:r>
            <w:r w:rsidRPr="008D2287">
              <w:rPr>
                <w:rFonts w:asciiTheme="majorHAnsi" w:hAnsiTheme="majorHAnsi" w:cstheme="majorHAnsi"/>
                <w:sz w:val="18"/>
                <w:szCs w:val="18"/>
              </w:rPr>
              <w:t>228,</w:t>
            </w:r>
            <w:r w:rsidR="00CC3CB9">
              <w:rPr>
                <w:rFonts w:asciiTheme="majorHAnsi" w:hAnsiTheme="majorHAnsi" w:cstheme="majorHAnsi"/>
                <w:sz w:val="18"/>
                <w:szCs w:val="18"/>
              </w:rPr>
              <w:t>244</w:t>
            </w:r>
            <w:r w:rsidRPr="008D2287">
              <w:rPr>
                <w:rFonts w:asciiTheme="majorHAnsi" w:hAnsiTheme="majorHAnsi" w:cstheme="majorHAnsi"/>
                <w:sz w:val="18"/>
                <w:szCs w:val="18"/>
              </w:rPr>
              <w:t>,</w:t>
            </w:r>
            <w:r w:rsidR="00CC3CB9">
              <w:rPr>
                <w:rFonts w:asciiTheme="majorHAnsi" w:hAnsiTheme="majorHAnsi" w:cstheme="majorHAnsi"/>
                <w:sz w:val="18"/>
                <w:szCs w:val="18"/>
              </w:rPr>
              <w:t>478</w:t>
            </w:r>
            <w:r w:rsidRPr="008D2287">
              <w:rPr>
                <w:rFonts w:asciiTheme="majorHAnsi" w:hAnsiTheme="majorHAnsi" w:cstheme="majorHAnsi"/>
                <w:sz w:val="18"/>
                <w:szCs w:val="18"/>
              </w:rPr>
              <w:t xml:space="preserve"> </w:t>
            </w:r>
          </w:p>
        </w:tc>
        <w:tc>
          <w:tcPr>
            <w:tcW w:w="1714" w:type="dxa"/>
            <w:tcBorders>
              <w:top w:val="nil"/>
              <w:left w:val="nil"/>
              <w:bottom w:val="single" w:sz="4" w:space="0" w:color="auto"/>
              <w:right w:val="single" w:sz="4" w:space="0" w:color="auto"/>
            </w:tcBorders>
            <w:shd w:val="clear" w:color="auto" w:fill="auto"/>
            <w:noWrap/>
            <w:vAlign w:val="bottom"/>
            <w:hideMark/>
          </w:tcPr>
          <w:p w14:paraId="5480DDA8" w14:textId="324A255C" w:rsidR="008D2287" w:rsidRPr="00F022E1" w:rsidRDefault="008D2287" w:rsidP="008D2287">
            <w:pPr>
              <w:jc w:val="right"/>
              <w:rPr>
                <w:rFonts w:asciiTheme="majorHAnsi" w:hAnsiTheme="majorHAnsi" w:cstheme="majorHAnsi"/>
                <w:color w:val="000000"/>
                <w:sz w:val="18"/>
                <w:szCs w:val="18"/>
              </w:rPr>
            </w:pPr>
            <w:r w:rsidRPr="00F022E1">
              <w:rPr>
                <w:rFonts w:ascii="Calibri" w:hAnsi="Calibri" w:cs="Calibri"/>
                <w:color w:val="000000"/>
                <w:sz w:val="18"/>
                <w:szCs w:val="18"/>
              </w:rPr>
              <w:t xml:space="preserve"> $     218,00</w:t>
            </w:r>
            <w:r w:rsidR="00CC3CB9" w:rsidRPr="00F022E1">
              <w:rPr>
                <w:rFonts w:ascii="Calibri" w:hAnsi="Calibri" w:cs="Calibri"/>
                <w:color w:val="000000"/>
                <w:sz w:val="18"/>
                <w:szCs w:val="18"/>
              </w:rPr>
              <w:t>6</w:t>
            </w:r>
            <w:r w:rsidRPr="00F022E1">
              <w:rPr>
                <w:rFonts w:ascii="Calibri" w:hAnsi="Calibri" w:cs="Calibri"/>
                <w:color w:val="000000"/>
                <w:sz w:val="18"/>
                <w:szCs w:val="18"/>
              </w:rPr>
              <w:t>,</w:t>
            </w:r>
            <w:r w:rsidR="00CC3CB9" w:rsidRPr="00F022E1">
              <w:rPr>
                <w:rFonts w:ascii="Calibri" w:hAnsi="Calibri" w:cs="Calibri"/>
                <w:color w:val="000000"/>
                <w:sz w:val="18"/>
                <w:szCs w:val="18"/>
              </w:rPr>
              <w:t>526</w:t>
            </w:r>
            <w:r w:rsidRPr="00F022E1">
              <w:rPr>
                <w:rFonts w:ascii="Calibri" w:hAnsi="Calibri" w:cs="Calibri"/>
                <w:color w:val="000000"/>
                <w:sz w:val="18"/>
                <w:szCs w:val="18"/>
              </w:rPr>
              <w:t xml:space="preserve"> </w:t>
            </w:r>
          </w:p>
        </w:tc>
      </w:tr>
    </w:tbl>
    <w:p w14:paraId="28393FBE" w14:textId="77777777" w:rsidR="001A1B8A" w:rsidRDefault="001A1B8A" w:rsidP="00B67C8D">
      <w:pPr>
        <w:pStyle w:val="TxBrp2"/>
        <w:widowControl/>
        <w:tabs>
          <w:tab w:val="clear" w:pos="788"/>
          <w:tab w:val="left" w:pos="1980"/>
        </w:tabs>
        <w:spacing w:line="456" w:lineRule="auto"/>
        <w:ind w:left="0" w:firstLine="1080"/>
        <w:rPr>
          <w:rFonts w:ascii="Courier New" w:hAnsi="Courier New" w:cs="Courier New"/>
          <w:sz w:val="24"/>
        </w:rPr>
        <w:sectPr w:rsidR="001A1B8A" w:rsidSect="001A1B8A">
          <w:footerReference w:type="default" r:id="rId18"/>
          <w:pgSz w:w="12240" w:h="15840" w:code="1"/>
          <w:pgMar w:top="1440" w:right="1440" w:bottom="1440" w:left="2160" w:header="720" w:footer="720" w:gutter="0"/>
          <w:lnNumType w:countBy="1"/>
          <w:pgNumType w:start="21"/>
          <w:cols w:space="720"/>
          <w:noEndnote/>
        </w:sectPr>
      </w:pPr>
    </w:p>
    <w:p w14:paraId="429308D1" w14:textId="77777777" w:rsidR="00EA544F" w:rsidRPr="00022A04" w:rsidRDefault="001D3F2A" w:rsidP="00022A04">
      <w:pPr>
        <w:pStyle w:val="Testimony"/>
        <w:widowControl/>
        <w:tabs>
          <w:tab w:val="clear" w:pos="2160"/>
          <w:tab w:val="left" w:pos="720"/>
          <w:tab w:val="left" w:pos="1980"/>
        </w:tabs>
        <w:spacing w:line="456" w:lineRule="auto"/>
        <w:ind w:firstLine="0"/>
        <w:rPr>
          <w:rFonts w:ascii="Courier New" w:hAnsi="Courier New" w:cs="Courier New"/>
          <w:b/>
          <w:szCs w:val="24"/>
        </w:rPr>
      </w:pPr>
      <w:r>
        <w:rPr>
          <w:rFonts w:ascii="Courier New" w:hAnsi="Courier New" w:cs="Courier New"/>
          <w:b/>
          <w:szCs w:val="24"/>
        </w:rPr>
        <w:lastRenderedPageBreak/>
        <w:t xml:space="preserve">B. </w:t>
      </w:r>
      <w:r w:rsidR="002049B5">
        <w:rPr>
          <w:rFonts w:ascii="Courier New" w:hAnsi="Courier New" w:cs="Courier New"/>
          <w:b/>
          <w:szCs w:val="24"/>
          <w:u w:val="single"/>
        </w:rPr>
        <w:t>Balancing Adjustment</w:t>
      </w:r>
      <w:r w:rsidR="00EA544F" w:rsidRPr="00022A04">
        <w:rPr>
          <w:rFonts w:ascii="Courier New" w:hAnsi="Courier New" w:cs="Courier New"/>
          <w:b/>
          <w:szCs w:val="24"/>
        </w:rPr>
        <w:t>.</w:t>
      </w:r>
    </w:p>
    <w:p w14:paraId="1DC611AB" w14:textId="77777777" w:rsidR="00EA544F" w:rsidRPr="00022A04" w:rsidRDefault="000A6EE0" w:rsidP="00022A04">
      <w:pPr>
        <w:pStyle w:val="Testimony"/>
        <w:widowControl/>
        <w:tabs>
          <w:tab w:val="clear" w:pos="2160"/>
          <w:tab w:val="left" w:pos="1980"/>
        </w:tabs>
        <w:spacing w:line="456" w:lineRule="auto"/>
        <w:rPr>
          <w:rFonts w:ascii="Courier New" w:hAnsi="Courier New" w:cs="Courier New"/>
          <w:szCs w:val="24"/>
        </w:rPr>
      </w:pPr>
      <w:r>
        <w:rPr>
          <w:rFonts w:ascii="Courier New" w:hAnsi="Courier New" w:cs="Courier New"/>
          <w:szCs w:val="24"/>
        </w:rPr>
        <w:t>Q.</w:t>
      </w:r>
      <w:r>
        <w:rPr>
          <w:rFonts w:ascii="Courier New" w:hAnsi="Courier New" w:cs="Courier New"/>
          <w:szCs w:val="24"/>
        </w:rPr>
        <w:tab/>
      </w:r>
      <w:r w:rsidR="00EA544F" w:rsidRPr="00022A04">
        <w:rPr>
          <w:rFonts w:ascii="Courier New" w:hAnsi="Courier New" w:cs="Courier New"/>
          <w:szCs w:val="24"/>
        </w:rPr>
        <w:t xml:space="preserve">What is this year’s quantification of the </w:t>
      </w:r>
      <w:r w:rsidR="002049B5">
        <w:rPr>
          <w:rFonts w:ascii="Courier New" w:hAnsi="Courier New" w:cs="Courier New"/>
          <w:szCs w:val="24"/>
        </w:rPr>
        <w:t>Balancing Adjustment</w:t>
      </w:r>
      <w:r w:rsidR="00EA544F" w:rsidRPr="00022A04">
        <w:rPr>
          <w:rFonts w:ascii="Courier New" w:hAnsi="Courier New" w:cs="Courier New"/>
          <w:szCs w:val="24"/>
        </w:rPr>
        <w:t>?</w:t>
      </w:r>
    </w:p>
    <w:p w14:paraId="52A09B7F" w14:textId="30C7DBA4" w:rsidR="00EA544F" w:rsidRPr="00022A04" w:rsidRDefault="000A6EE0" w:rsidP="00022A04">
      <w:pPr>
        <w:pStyle w:val="Testimony"/>
        <w:widowControl/>
        <w:tabs>
          <w:tab w:val="clear" w:pos="2160"/>
          <w:tab w:val="left" w:pos="1980"/>
        </w:tabs>
        <w:spacing w:line="456" w:lineRule="auto"/>
        <w:rPr>
          <w:rFonts w:ascii="Courier New" w:hAnsi="Courier New" w:cs="Courier New"/>
          <w:szCs w:val="24"/>
        </w:rPr>
      </w:pPr>
      <w:r>
        <w:rPr>
          <w:rFonts w:ascii="Courier New" w:hAnsi="Courier New" w:cs="Courier New"/>
          <w:szCs w:val="24"/>
        </w:rPr>
        <w:t>A.</w:t>
      </w:r>
      <w:r>
        <w:rPr>
          <w:rFonts w:ascii="Courier New" w:hAnsi="Courier New" w:cs="Courier New"/>
          <w:szCs w:val="24"/>
        </w:rPr>
        <w:tab/>
      </w:r>
      <w:r w:rsidR="00EA544F" w:rsidRPr="00022A04">
        <w:rPr>
          <w:rFonts w:ascii="Courier New" w:hAnsi="Courier New" w:cs="Courier New"/>
          <w:szCs w:val="24"/>
        </w:rPr>
        <w:t xml:space="preserve">The </w:t>
      </w:r>
      <w:r w:rsidR="002049B5">
        <w:rPr>
          <w:rFonts w:ascii="Courier New" w:hAnsi="Courier New" w:cs="Courier New"/>
          <w:szCs w:val="24"/>
        </w:rPr>
        <w:t>Balancing Adjustment</w:t>
      </w:r>
      <w:r w:rsidR="00EA544F" w:rsidRPr="00022A04">
        <w:rPr>
          <w:rFonts w:ascii="Courier New" w:hAnsi="Courier New" w:cs="Courier New"/>
          <w:szCs w:val="24"/>
        </w:rPr>
        <w:t xml:space="preserve"> is detailed in the</w:t>
      </w:r>
      <w:r w:rsidR="0055670E">
        <w:rPr>
          <w:rFonts w:ascii="Courier New" w:hAnsi="Courier New" w:cs="Courier New"/>
          <w:szCs w:val="24"/>
        </w:rPr>
        <w:t xml:space="preserve"> PCA</w:t>
      </w:r>
      <w:r w:rsidR="00EA544F" w:rsidRPr="00022A04">
        <w:rPr>
          <w:rFonts w:ascii="Courier New" w:hAnsi="Courier New" w:cs="Courier New"/>
          <w:szCs w:val="24"/>
        </w:rPr>
        <w:t xml:space="preserve"> deferral report, attached </w:t>
      </w:r>
      <w:r w:rsidR="00AD2351">
        <w:rPr>
          <w:rFonts w:ascii="Courier New" w:hAnsi="Courier New" w:cs="Courier New"/>
          <w:szCs w:val="24"/>
        </w:rPr>
        <w:t xml:space="preserve">hereto </w:t>
      </w:r>
      <w:r w:rsidR="00EA544F" w:rsidRPr="00022A04">
        <w:rPr>
          <w:rFonts w:ascii="Courier New" w:hAnsi="Courier New" w:cs="Courier New"/>
          <w:szCs w:val="24"/>
        </w:rPr>
        <w:t xml:space="preserve">as Exhibit No. </w:t>
      </w:r>
      <w:r w:rsidR="004D67C3">
        <w:rPr>
          <w:rFonts w:ascii="Courier New" w:hAnsi="Courier New" w:cs="Courier New"/>
          <w:szCs w:val="24"/>
        </w:rPr>
        <w:t>2</w:t>
      </w:r>
      <w:r w:rsidR="00EA544F" w:rsidRPr="00022A04">
        <w:rPr>
          <w:rFonts w:ascii="Courier New" w:hAnsi="Courier New" w:cs="Courier New"/>
          <w:szCs w:val="24"/>
        </w:rPr>
        <w:t>.</w:t>
      </w:r>
      <w:r w:rsidR="003C34F6" w:rsidRPr="00022A04">
        <w:rPr>
          <w:rFonts w:ascii="Courier New" w:hAnsi="Courier New" w:cs="Courier New"/>
          <w:szCs w:val="24"/>
        </w:rPr>
        <w:t xml:space="preserve"> </w:t>
      </w:r>
      <w:r w:rsidR="00EA544F" w:rsidRPr="00022A04">
        <w:rPr>
          <w:rFonts w:ascii="Courier New" w:hAnsi="Courier New" w:cs="Courier New"/>
          <w:szCs w:val="24"/>
        </w:rPr>
        <w:t xml:space="preserve">This report compares actual </w:t>
      </w:r>
      <w:r w:rsidR="00BC190F" w:rsidRPr="00022A04">
        <w:rPr>
          <w:rFonts w:ascii="Courier New" w:hAnsi="Courier New" w:cs="Courier New"/>
          <w:szCs w:val="24"/>
        </w:rPr>
        <w:t>NPSE amounts</w:t>
      </w:r>
      <w:r w:rsidR="00EA544F" w:rsidRPr="00022A04">
        <w:rPr>
          <w:rFonts w:ascii="Courier New" w:hAnsi="Courier New" w:cs="Courier New"/>
          <w:szCs w:val="24"/>
        </w:rPr>
        <w:t xml:space="preserve"> to </w:t>
      </w:r>
      <w:r w:rsidR="00525BB4" w:rsidRPr="00022A04">
        <w:rPr>
          <w:rFonts w:ascii="Courier New" w:hAnsi="Courier New" w:cs="Courier New"/>
          <w:szCs w:val="24"/>
        </w:rPr>
        <w:t>actual power cost collections</w:t>
      </w:r>
      <w:r w:rsidR="00EA544F" w:rsidRPr="00022A04">
        <w:rPr>
          <w:rFonts w:ascii="Courier New" w:hAnsi="Courier New" w:cs="Courier New"/>
          <w:szCs w:val="24"/>
        </w:rPr>
        <w:t xml:space="preserve"> </w:t>
      </w:r>
      <w:r w:rsidR="0004219A" w:rsidRPr="00022A04">
        <w:rPr>
          <w:rFonts w:ascii="Courier New" w:hAnsi="Courier New" w:cs="Courier New"/>
          <w:szCs w:val="24"/>
        </w:rPr>
        <w:t>monthly</w:t>
      </w:r>
      <w:r w:rsidR="00EA544F" w:rsidRPr="00022A04">
        <w:rPr>
          <w:rFonts w:ascii="Courier New" w:hAnsi="Courier New" w:cs="Courier New"/>
          <w:szCs w:val="24"/>
        </w:rPr>
        <w:t xml:space="preserve">, with the differences accumulated as </w:t>
      </w:r>
      <w:r w:rsidR="00BC190F" w:rsidRPr="00022A04">
        <w:rPr>
          <w:rFonts w:ascii="Courier New" w:hAnsi="Courier New" w:cs="Courier New"/>
          <w:szCs w:val="24"/>
        </w:rPr>
        <w:t xml:space="preserve">a </w:t>
      </w:r>
      <w:r w:rsidR="00EA544F" w:rsidRPr="00022A04">
        <w:rPr>
          <w:rFonts w:ascii="Courier New" w:hAnsi="Courier New" w:cs="Courier New"/>
          <w:szCs w:val="24"/>
        </w:rPr>
        <w:t>deferral balance.</w:t>
      </w:r>
      <w:r w:rsidR="003C34F6" w:rsidRPr="00022A04">
        <w:rPr>
          <w:rFonts w:ascii="Courier New" w:hAnsi="Courier New" w:cs="Courier New"/>
          <w:szCs w:val="24"/>
        </w:rPr>
        <w:t xml:space="preserve"> </w:t>
      </w:r>
      <w:r>
        <w:rPr>
          <w:rFonts w:ascii="Courier New" w:hAnsi="Courier New" w:cs="Courier New"/>
          <w:szCs w:val="24"/>
        </w:rPr>
        <w:t xml:space="preserve"> </w:t>
      </w:r>
      <w:r w:rsidR="00EA544F" w:rsidRPr="00022A04">
        <w:rPr>
          <w:rFonts w:ascii="Courier New" w:hAnsi="Courier New" w:cs="Courier New"/>
          <w:szCs w:val="24"/>
        </w:rPr>
        <w:t xml:space="preserve">The </w:t>
      </w:r>
      <w:r w:rsidR="00EA544F" w:rsidRPr="00392836">
        <w:rPr>
          <w:rFonts w:ascii="Courier New" w:hAnsi="Courier New" w:cs="Courier New"/>
          <w:szCs w:val="24"/>
        </w:rPr>
        <w:t xml:space="preserve">balance at the end of March </w:t>
      </w:r>
      <w:r w:rsidR="00202300">
        <w:rPr>
          <w:rFonts w:ascii="Courier New" w:hAnsi="Courier New" w:cs="Courier New"/>
          <w:szCs w:val="24"/>
        </w:rPr>
        <w:t>2023</w:t>
      </w:r>
      <w:r w:rsidR="00EA544F" w:rsidRPr="00392836">
        <w:rPr>
          <w:rFonts w:ascii="Courier New" w:hAnsi="Courier New" w:cs="Courier New"/>
          <w:szCs w:val="24"/>
        </w:rPr>
        <w:t xml:space="preserve">, with interest applied, was </w:t>
      </w:r>
      <w:r w:rsidR="00EA544F" w:rsidRPr="002C7975">
        <w:rPr>
          <w:rFonts w:ascii="Courier New" w:hAnsi="Courier New" w:cs="Courier New"/>
          <w:szCs w:val="24"/>
        </w:rPr>
        <w:t>$</w:t>
      </w:r>
      <w:r w:rsidR="009D5B41" w:rsidRPr="009D5B41">
        <w:rPr>
          <w:rFonts w:ascii="Courier New" w:hAnsi="Courier New" w:cs="Courier New"/>
          <w:szCs w:val="24"/>
        </w:rPr>
        <w:t>190,205,569</w:t>
      </w:r>
      <w:r w:rsidR="00EA544F" w:rsidRPr="009D5B41">
        <w:rPr>
          <w:rFonts w:ascii="Courier New" w:hAnsi="Courier New" w:cs="Courier New"/>
          <w:szCs w:val="24"/>
        </w:rPr>
        <w:t xml:space="preserve"> </w:t>
      </w:r>
      <w:r w:rsidR="00EA544F" w:rsidRPr="00392836">
        <w:rPr>
          <w:rFonts w:ascii="Courier New" w:hAnsi="Courier New" w:cs="Courier New"/>
          <w:szCs w:val="24"/>
        </w:rPr>
        <w:t xml:space="preserve">as shown on row </w:t>
      </w:r>
      <w:r w:rsidR="007E79AE" w:rsidRPr="00392836">
        <w:rPr>
          <w:rFonts w:ascii="Courier New" w:hAnsi="Courier New" w:cs="Courier New"/>
          <w:szCs w:val="24"/>
        </w:rPr>
        <w:t>10</w:t>
      </w:r>
      <w:r w:rsidR="008613F0">
        <w:rPr>
          <w:rFonts w:ascii="Courier New" w:hAnsi="Courier New" w:cs="Courier New"/>
          <w:szCs w:val="24"/>
        </w:rPr>
        <w:t>0</w:t>
      </w:r>
      <w:r w:rsidR="00EA544F" w:rsidRPr="00392836">
        <w:rPr>
          <w:rFonts w:ascii="Courier New" w:hAnsi="Courier New" w:cs="Courier New"/>
          <w:szCs w:val="24"/>
        </w:rPr>
        <w:t xml:space="preserve"> of Exhibit No. </w:t>
      </w:r>
      <w:r w:rsidR="004D67C3" w:rsidRPr="00392836">
        <w:rPr>
          <w:rFonts w:ascii="Courier New" w:hAnsi="Courier New" w:cs="Courier New"/>
          <w:szCs w:val="24"/>
        </w:rPr>
        <w:t>2</w:t>
      </w:r>
      <w:r w:rsidR="00EA544F" w:rsidRPr="00392836">
        <w:rPr>
          <w:rFonts w:ascii="Courier New" w:hAnsi="Courier New" w:cs="Courier New"/>
          <w:szCs w:val="24"/>
        </w:rPr>
        <w:t>.</w:t>
      </w:r>
      <w:r w:rsidR="003C34F6" w:rsidRPr="00392836">
        <w:rPr>
          <w:rFonts w:ascii="Courier New" w:hAnsi="Courier New" w:cs="Courier New"/>
          <w:szCs w:val="24"/>
        </w:rPr>
        <w:t xml:space="preserve"> </w:t>
      </w:r>
      <w:r w:rsidRPr="00392836">
        <w:rPr>
          <w:rFonts w:ascii="Courier New" w:hAnsi="Courier New" w:cs="Courier New"/>
          <w:szCs w:val="24"/>
        </w:rPr>
        <w:t xml:space="preserve"> </w:t>
      </w:r>
      <w:r w:rsidR="00EA544F" w:rsidRPr="00392836">
        <w:rPr>
          <w:rFonts w:ascii="Courier New" w:hAnsi="Courier New" w:cs="Courier New"/>
          <w:szCs w:val="24"/>
        </w:rPr>
        <w:t xml:space="preserve">The </w:t>
      </w:r>
      <w:r w:rsidR="006273F2" w:rsidRPr="00392836">
        <w:rPr>
          <w:rFonts w:ascii="Courier New" w:hAnsi="Courier New" w:cs="Courier New"/>
          <w:szCs w:val="24"/>
        </w:rPr>
        <w:t xml:space="preserve">approximate </w:t>
      </w:r>
      <w:r w:rsidR="00EA544F" w:rsidRPr="00392836">
        <w:rPr>
          <w:rFonts w:ascii="Courier New" w:hAnsi="Courier New" w:cs="Courier New"/>
          <w:szCs w:val="24"/>
        </w:rPr>
        <w:t>$</w:t>
      </w:r>
      <w:r w:rsidR="009D5B41" w:rsidRPr="009D5B41">
        <w:rPr>
          <w:rFonts w:ascii="Courier New" w:hAnsi="Courier New" w:cs="Courier New"/>
          <w:szCs w:val="24"/>
        </w:rPr>
        <w:t>190</w:t>
      </w:r>
      <w:r w:rsidR="00F7226E">
        <w:rPr>
          <w:rFonts w:ascii="Courier New" w:hAnsi="Courier New" w:cs="Courier New"/>
          <w:szCs w:val="24"/>
        </w:rPr>
        <w:t xml:space="preserve"> </w:t>
      </w:r>
      <w:r w:rsidR="00EA544F" w:rsidRPr="00022A04">
        <w:rPr>
          <w:rFonts w:ascii="Courier New" w:hAnsi="Courier New" w:cs="Courier New"/>
          <w:szCs w:val="24"/>
        </w:rPr>
        <w:t>million represent</w:t>
      </w:r>
      <w:r w:rsidR="0055670E">
        <w:rPr>
          <w:rFonts w:ascii="Courier New" w:hAnsi="Courier New" w:cs="Courier New"/>
          <w:szCs w:val="24"/>
        </w:rPr>
        <w:t>s an</w:t>
      </w:r>
      <w:r w:rsidR="00A34135">
        <w:rPr>
          <w:rFonts w:ascii="Courier New" w:hAnsi="Courier New" w:cs="Courier New"/>
          <w:szCs w:val="24"/>
        </w:rPr>
        <w:t xml:space="preserve"> increase </w:t>
      </w:r>
      <w:r w:rsidR="00EA544F" w:rsidRPr="00022A04">
        <w:rPr>
          <w:rFonts w:ascii="Courier New" w:hAnsi="Courier New" w:cs="Courier New"/>
          <w:szCs w:val="24"/>
        </w:rPr>
        <w:t>to customer</w:t>
      </w:r>
      <w:r w:rsidR="0055670E">
        <w:rPr>
          <w:rFonts w:ascii="Courier New" w:hAnsi="Courier New" w:cs="Courier New"/>
          <w:szCs w:val="24"/>
        </w:rPr>
        <w:t xml:space="preserve"> rates</w:t>
      </w:r>
      <w:r w:rsidR="00EA544F" w:rsidRPr="00022A04">
        <w:rPr>
          <w:rFonts w:ascii="Courier New" w:hAnsi="Courier New" w:cs="Courier New"/>
          <w:szCs w:val="24"/>
        </w:rPr>
        <w:t xml:space="preserve"> in this year’s PCA</w:t>
      </w:r>
      <w:r w:rsidR="00AD2351">
        <w:rPr>
          <w:rFonts w:ascii="Courier New" w:hAnsi="Courier New" w:cs="Courier New"/>
          <w:szCs w:val="24"/>
        </w:rPr>
        <w:t xml:space="preserve"> </w:t>
      </w:r>
      <w:r w:rsidR="002049B5">
        <w:rPr>
          <w:rFonts w:ascii="Courier New" w:hAnsi="Courier New" w:cs="Courier New"/>
          <w:szCs w:val="24"/>
        </w:rPr>
        <w:t>Balancing Adjustment</w:t>
      </w:r>
      <w:r w:rsidR="00EA544F" w:rsidRPr="00022A04">
        <w:rPr>
          <w:rFonts w:ascii="Courier New" w:hAnsi="Courier New" w:cs="Courier New"/>
          <w:szCs w:val="24"/>
        </w:rPr>
        <w:t xml:space="preserve">. </w:t>
      </w:r>
    </w:p>
    <w:p w14:paraId="767A30D3" w14:textId="4759932F" w:rsidR="00EA544F" w:rsidRPr="00022A04" w:rsidRDefault="000A6EE0" w:rsidP="00022A04">
      <w:pPr>
        <w:pStyle w:val="Testimony"/>
        <w:widowControl/>
        <w:tabs>
          <w:tab w:val="clear" w:pos="2160"/>
          <w:tab w:val="left" w:pos="1980"/>
        </w:tabs>
        <w:spacing w:line="456" w:lineRule="auto"/>
        <w:rPr>
          <w:rFonts w:ascii="Courier New" w:hAnsi="Courier New" w:cs="Courier New"/>
          <w:szCs w:val="24"/>
        </w:rPr>
      </w:pPr>
      <w:r>
        <w:rPr>
          <w:rFonts w:ascii="Courier New" w:hAnsi="Courier New" w:cs="Courier New"/>
          <w:szCs w:val="24"/>
        </w:rPr>
        <w:t>Q.</w:t>
      </w:r>
      <w:r>
        <w:rPr>
          <w:rFonts w:ascii="Courier New" w:hAnsi="Courier New" w:cs="Courier New"/>
          <w:szCs w:val="24"/>
        </w:rPr>
        <w:tab/>
      </w:r>
      <w:r w:rsidR="00EA544F" w:rsidRPr="00022A04">
        <w:rPr>
          <w:rFonts w:ascii="Courier New" w:hAnsi="Courier New" w:cs="Courier New"/>
          <w:szCs w:val="24"/>
        </w:rPr>
        <w:t xml:space="preserve">To what factors do you attribute the accumulation of the </w:t>
      </w:r>
      <w:r w:rsidR="006273F2" w:rsidRPr="00022A04">
        <w:rPr>
          <w:rFonts w:ascii="Courier New" w:hAnsi="Courier New" w:cs="Courier New"/>
          <w:szCs w:val="24"/>
        </w:rPr>
        <w:t xml:space="preserve">approximate </w:t>
      </w:r>
      <w:r w:rsidR="00EA544F" w:rsidRPr="00022A04">
        <w:rPr>
          <w:rFonts w:ascii="Courier New" w:hAnsi="Courier New" w:cs="Courier New"/>
          <w:szCs w:val="24"/>
        </w:rPr>
        <w:t>$</w:t>
      </w:r>
      <w:r w:rsidR="009D5B41" w:rsidRPr="009D5B41">
        <w:rPr>
          <w:rFonts w:ascii="Courier New" w:hAnsi="Courier New" w:cs="Courier New"/>
          <w:szCs w:val="24"/>
        </w:rPr>
        <w:t>190</w:t>
      </w:r>
      <w:r w:rsidR="008D2287" w:rsidRPr="009D5B41">
        <w:rPr>
          <w:rFonts w:ascii="Courier New" w:hAnsi="Courier New" w:cs="Courier New"/>
          <w:szCs w:val="24"/>
        </w:rPr>
        <w:t xml:space="preserve"> </w:t>
      </w:r>
      <w:r w:rsidR="00EA544F" w:rsidRPr="00022A04">
        <w:rPr>
          <w:rFonts w:ascii="Courier New" w:hAnsi="Courier New" w:cs="Courier New"/>
          <w:szCs w:val="24"/>
        </w:rPr>
        <w:t>million deferral balance?</w:t>
      </w:r>
    </w:p>
    <w:p w14:paraId="48AFF8C0" w14:textId="7DC99DF5" w:rsidR="00365539" w:rsidRDefault="00EA544F" w:rsidP="00022A04">
      <w:pPr>
        <w:pStyle w:val="Testimony"/>
        <w:widowControl/>
        <w:tabs>
          <w:tab w:val="clear" w:pos="2160"/>
          <w:tab w:val="left" w:pos="1980"/>
        </w:tabs>
        <w:spacing w:line="456" w:lineRule="auto"/>
        <w:rPr>
          <w:rFonts w:ascii="Courier New" w:hAnsi="Courier New" w:cs="Courier New"/>
          <w:szCs w:val="24"/>
        </w:rPr>
      </w:pPr>
      <w:r w:rsidRPr="00022A04">
        <w:rPr>
          <w:rFonts w:ascii="Courier New" w:hAnsi="Courier New" w:cs="Courier New"/>
          <w:szCs w:val="24"/>
        </w:rPr>
        <w:t>A.</w:t>
      </w:r>
      <w:r w:rsidR="000A6EE0">
        <w:rPr>
          <w:rFonts w:ascii="Courier New" w:hAnsi="Courier New" w:cs="Courier New"/>
          <w:szCs w:val="24"/>
        </w:rPr>
        <w:tab/>
      </w:r>
      <w:r w:rsidRPr="00A9626E">
        <w:rPr>
          <w:rFonts w:ascii="Courier New" w:hAnsi="Courier New" w:cs="Courier New"/>
          <w:szCs w:val="24"/>
        </w:rPr>
        <w:t xml:space="preserve">The </w:t>
      </w:r>
      <w:r w:rsidR="006273F2" w:rsidRPr="00A9626E">
        <w:rPr>
          <w:rFonts w:ascii="Courier New" w:hAnsi="Courier New" w:cs="Courier New"/>
          <w:szCs w:val="24"/>
        </w:rPr>
        <w:t xml:space="preserve">approximate </w:t>
      </w:r>
      <w:r w:rsidRPr="00A9626E">
        <w:rPr>
          <w:rFonts w:ascii="Courier New" w:hAnsi="Courier New" w:cs="Courier New"/>
          <w:szCs w:val="24"/>
        </w:rPr>
        <w:t>$</w:t>
      </w:r>
      <w:r w:rsidR="009D5B41" w:rsidRPr="009D5B41">
        <w:rPr>
          <w:rFonts w:ascii="Courier New" w:hAnsi="Courier New" w:cs="Courier New"/>
          <w:szCs w:val="24"/>
        </w:rPr>
        <w:t xml:space="preserve">190 </w:t>
      </w:r>
      <w:r w:rsidRPr="00A9626E">
        <w:rPr>
          <w:rFonts w:ascii="Courier New" w:hAnsi="Courier New" w:cs="Courier New"/>
          <w:szCs w:val="24"/>
        </w:rPr>
        <w:t>million deferral balance</w:t>
      </w:r>
      <w:r w:rsidRPr="00A9626E" w:rsidDel="00E604EB">
        <w:rPr>
          <w:rFonts w:ascii="Courier New" w:hAnsi="Courier New" w:cs="Courier New"/>
          <w:szCs w:val="24"/>
        </w:rPr>
        <w:t xml:space="preserve"> </w:t>
      </w:r>
      <w:r w:rsidRPr="00A9626E">
        <w:rPr>
          <w:rFonts w:ascii="Courier New" w:hAnsi="Courier New" w:cs="Courier New"/>
          <w:szCs w:val="24"/>
        </w:rPr>
        <w:t xml:space="preserve">was </w:t>
      </w:r>
      <w:bookmarkStart w:id="4" w:name="_Hlk100590988"/>
      <w:r w:rsidR="006667C4">
        <w:rPr>
          <w:rFonts w:ascii="Courier New" w:hAnsi="Courier New" w:cs="Courier New"/>
          <w:szCs w:val="24"/>
        </w:rPr>
        <w:t>primarily</w:t>
      </w:r>
      <w:r w:rsidRPr="00A9626E">
        <w:rPr>
          <w:rFonts w:ascii="Courier New" w:hAnsi="Courier New" w:cs="Courier New"/>
          <w:szCs w:val="24"/>
        </w:rPr>
        <w:t xml:space="preserve"> driven by </w:t>
      </w:r>
      <w:r w:rsidR="00855108">
        <w:rPr>
          <w:rFonts w:ascii="Courier New" w:hAnsi="Courier New" w:cs="Courier New"/>
          <w:szCs w:val="24"/>
        </w:rPr>
        <w:t>a decrease in actual hydro</w:t>
      </w:r>
      <w:r w:rsidR="009E78F7">
        <w:rPr>
          <w:rFonts w:ascii="Courier New" w:hAnsi="Courier New" w:cs="Courier New"/>
          <w:szCs w:val="24"/>
        </w:rPr>
        <w:t xml:space="preserve"> </w:t>
      </w:r>
      <w:r w:rsidR="00855108">
        <w:rPr>
          <w:rFonts w:ascii="Courier New" w:hAnsi="Courier New" w:cs="Courier New"/>
          <w:szCs w:val="24"/>
        </w:rPr>
        <w:t>generation</w:t>
      </w:r>
      <w:r w:rsidR="006667C4">
        <w:rPr>
          <w:rFonts w:ascii="Courier New" w:hAnsi="Courier New" w:cs="Courier New"/>
          <w:szCs w:val="24"/>
        </w:rPr>
        <w:t xml:space="preserve"> from expected as well as higher than forecast market purchases</w:t>
      </w:r>
      <w:r w:rsidR="009D5B41">
        <w:rPr>
          <w:rFonts w:ascii="Courier New" w:hAnsi="Courier New" w:cs="Courier New"/>
          <w:szCs w:val="24"/>
        </w:rPr>
        <w:t xml:space="preserve"> and natural gas generation, due to a limited coal supply</w:t>
      </w:r>
      <w:r w:rsidR="006667C4">
        <w:rPr>
          <w:rFonts w:ascii="Courier New" w:hAnsi="Courier New" w:cs="Courier New"/>
          <w:szCs w:val="24"/>
        </w:rPr>
        <w:t>.</w:t>
      </w:r>
      <w:r w:rsidR="00124DBB">
        <w:rPr>
          <w:rFonts w:ascii="Courier New" w:hAnsi="Courier New" w:cs="Courier New"/>
          <w:szCs w:val="24"/>
        </w:rPr>
        <w:t xml:space="preserve"> </w:t>
      </w:r>
      <w:bookmarkEnd w:id="4"/>
    </w:p>
    <w:p w14:paraId="21E6BF62" w14:textId="2603390B" w:rsidR="00842CC2" w:rsidRDefault="00842CC2" w:rsidP="00842CC2">
      <w:pPr>
        <w:pStyle w:val="Testimony"/>
        <w:widowControl/>
        <w:tabs>
          <w:tab w:val="clear" w:pos="2160"/>
          <w:tab w:val="left" w:pos="1980"/>
        </w:tabs>
        <w:spacing w:line="456" w:lineRule="auto"/>
        <w:rPr>
          <w:rFonts w:ascii="Courier New" w:hAnsi="Courier New" w:cs="Courier New"/>
          <w:szCs w:val="24"/>
        </w:rPr>
      </w:pPr>
      <w:r>
        <w:rPr>
          <w:rFonts w:ascii="Courier New" w:hAnsi="Courier New" w:cs="Courier New"/>
          <w:szCs w:val="24"/>
        </w:rPr>
        <w:t>Actual hydro</w:t>
      </w:r>
      <w:r w:rsidR="001828D7">
        <w:rPr>
          <w:rFonts w:ascii="Courier New" w:hAnsi="Courier New" w:cs="Courier New"/>
          <w:szCs w:val="24"/>
        </w:rPr>
        <w:t xml:space="preserve"> </w:t>
      </w:r>
      <w:r>
        <w:rPr>
          <w:rFonts w:ascii="Courier New" w:hAnsi="Courier New" w:cs="Courier New"/>
          <w:szCs w:val="24"/>
        </w:rPr>
        <w:t xml:space="preserve">generation for the </w:t>
      </w:r>
      <w:r w:rsidR="00202300">
        <w:rPr>
          <w:rFonts w:ascii="Courier New" w:hAnsi="Courier New" w:cs="Courier New"/>
          <w:szCs w:val="24"/>
        </w:rPr>
        <w:t>2022</w:t>
      </w:r>
      <w:r>
        <w:rPr>
          <w:rFonts w:ascii="Courier New" w:hAnsi="Courier New" w:cs="Courier New"/>
          <w:szCs w:val="24"/>
        </w:rPr>
        <w:t>-</w:t>
      </w:r>
      <w:r w:rsidR="00202300">
        <w:rPr>
          <w:rFonts w:ascii="Courier New" w:hAnsi="Courier New" w:cs="Courier New"/>
          <w:szCs w:val="24"/>
        </w:rPr>
        <w:t>2023</w:t>
      </w:r>
      <w:r>
        <w:rPr>
          <w:rFonts w:ascii="Courier New" w:hAnsi="Courier New" w:cs="Courier New"/>
          <w:szCs w:val="24"/>
        </w:rPr>
        <w:t xml:space="preserve"> PCA year totaled 5,</w:t>
      </w:r>
      <w:r w:rsidR="000B4048">
        <w:rPr>
          <w:rFonts w:ascii="Courier New" w:hAnsi="Courier New" w:cs="Courier New"/>
          <w:szCs w:val="24"/>
        </w:rPr>
        <w:t>458</w:t>
      </w:r>
      <w:r w:rsidR="009D5B41">
        <w:rPr>
          <w:rFonts w:ascii="Courier New" w:hAnsi="Courier New" w:cs="Courier New"/>
          <w:szCs w:val="24"/>
        </w:rPr>
        <w:t>,</w:t>
      </w:r>
      <w:r w:rsidR="00916814">
        <w:rPr>
          <w:rFonts w:ascii="Courier New" w:hAnsi="Courier New" w:cs="Courier New"/>
          <w:szCs w:val="24"/>
        </w:rPr>
        <w:t>343</w:t>
      </w:r>
      <w:r>
        <w:rPr>
          <w:rFonts w:ascii="Courier New" w:hAnsi="Courier New" w:cs="Courier New"/>
          <w:szCs w:val="24"/>
        </w:rPr>
        <w:t xml:space="preserve"> MWh, a</w:t>
      </w:r>
      <w:r w:rsidR="009D5B41">
        <w:rPr>
          <w:rFonts w:ascii="Courier New" w:hAnsi="Courier New" w:cs="Courier New"/>
          <w:szCs w:val="24"/>
        </w:rPr>
        <w:t xml:space="preserve"> </w:t>
      </w:r>
      <w:r w:rsidR="00916814">
        <w:rPr>
          <w:rFonts w:ascii="Courier New" w:hAnsi="Courier New" w:cs="Courier New"/>
          <w:szCs w:val="24"/>
        </w:rPr>
        <w:t>9</w:t>
      </w:r>
      <w:r>
        <w:rPr>
          <w:rFonts w:ascii="Courier New" w:hAnsi="Courier New" w:cs="Courier New"/>
          <w:szCs w:val="24"/>
        </w:rPr>
        <w:t xml:space="preserve"> percent decrease from last year’s forecast of </w:t>
      </w:r>
      <w:r w:rsidR="009D5B41">
        <w:rPr>
          <w:rFonts w:ascii="Courier New" w:hAnsi="Courier New" w:cs="Courier New"/>
          <w:szCs w:val="24"/>
        </w:rPr>
        <w:t>5,972,743</w:t>
      </w:r>
      <w:r>
        <w:rPr>
          <w:rFonts w:ascii="Courier New" w:hAnsi="Courier New" w:cs="Courier New"/>
          <w:szCs w:val="24"/>
        </w:rPr>
        <w:t xml:space="preserve"> MWh. </w:t>
      </w:r>
      <w:r w:rsidR="00F46820">
        <w:rPr>
          <w:rFonts w:ascii="Courier New" w:hAnsi="Courier New" w:cs="Courier New"/>
          <w:szCs w:val="24"/>
        </w:rPr>
        <w:t xml:space="preserve">Actual </w:t>
      </w:r>
      <w:r w:rsidR="0040527D">
        <w:rPr>
          <w:rFonts w:ascii="Courier New" w:hAnsi="Courier New" w:cs="Courier New"/>
          <w:szCs w:val="24"/>
        </w:rPr>
        <w:t>purchased power</w:t>
      </w:r>
      <w:r w:rsidR="00F46820">
        <w:rPr>
          <w:rFonts w:ascii="Courier New" w:hAnsi="Courier New" w:cs="Courier New"/>
          <w:szCs w:val="24"/>
        </w:rPr>
        <w:t xml:space="preserve"> totaled </w:t>
      </w:r>
      <w:r w:rsidR="00EA15A3">
        <w:rPr>
          <w:rFonts w:ascii="Courier New" w:hAnsi="Courier New" w:cs="Courier New"/>
          <w:szCs w:val="24"/>
        </w:rPr>
        <w:t>4,2</w:t>
      </w:r>
      <w:r w:rsidR="00364091">
        <w:rPr>
          <w:rFonts w:ascii="Courier New" w:hAnsi="Courier New" w:cs="Courier New"/>
          <w:szCs w:val="24"/>
        </w:rPr>
        <w:t>97</w:t>
      </w:r>
      <w:r w:rsidR="00EA15A3">
        <w:rPr>
          <w:rFonts w:ascii="Courier New" w:hAnsi="Courier New" w:cs="Courier New"/>
          <w:szCs w:val="24"/>
        </w:rPr>
        <w:t>,7</w:t>
      </w:r>
      <w:r w:rsidR="00364091">
        <w:rPr>
          <w:rFonts w:ascii="Courier New" w:hAnsi="Courier New" w:cs="Courier New"/>
          <w:szCs w:val="24"/>
        </w:rPr>
        <w:t>23</w:t>
      </w:r>
      <w:r w:rsidR="00F46820">
        <w:rPr>
          <w:rFonts w:ascii="Courier New" w:hAnsi="Courier New" w:cs="Courier New"/>
          <w:szCs w:val="24"/>
        </w:rPr>
        <w:t xml:space="preserve"> MWh, a 1</w:t>
      </w:r>
      <w:r w:rsidR="00364091">
        <w:rPr>
          <w:rFonts w:ascii="Courier New" w:hAnsi="Courier New" w:cs="Courier New"/>
          <w:szCs w:val="24"/>
        </w:rPr>
        <w:t>72</w:t>
      </w:r>
      <w:r w:rsidR="00F46820">
        <w:rPr>
          <w:rFonts w:ascii="Courier New" w:hAnsi="Courier New" w:cs="Courier New"/>
          <w:szCs w:val="24"/>
        </w:rPr>
        <w:t xml:space="preserve"> percent increase from last year’s forecast. </w:t>
      </w:r>
      <w:r w:rsidR="00EA15A3">
        <w:rPr>
          <w:rFonts w:ascii="Courier New" w:hAnsi="Courier New" w:cs="Courier New"/>
          <w:szCs w:val="24"/>
        </w:rPr>
        <w:t xml:space="preserve">Actual natural gas generation totaled </w:t>
      </w:r>
      <w:r w:rsidR="00EA15A3">
        <w:rPr>
          <w:rFonts w:ascii="Courier New" w:hAnsi="Courier New" w:cs="Courier New"/>
          <w:szCs w:val="24"/>
        </w:rPr>
        <w:lastRenderedPageBreak/>
        <w:t>2,7</w:t>
      </w:r>
      <w:r w:rsidR="00364091">
        <w:rPr>
          <w:rFonts w:ascii="Courier New" w:hAnsi="Courier New" w:cs="Courier New"/>
          <w:szCs w:val="24"/>
        </w:rPr>
        <w:t>16</w:t>
      </w:r>
      <w:r w:rsidR="00EA15A3">
        <w:rPr>
          <w:rFonts w:ascii="Courier New" w:hAnsi="Courier New" w:cs="Courier New"/>
          <w:szCs w:val="24"/>
        </w:rPr>
        <w:t>,</w:t>
      </w:r>
      <w:r w:rsidR="00364091">
        <w:rPr>
          <w:rFonts w:ascii="Courier New" w:hAnsi="Courier New" w:cs="Courier New"/>
          <w:szCs w:val="24"/>
        </w:rPr>
        <w:t>835</w:t>
      </w:r>
      <w:r w:rsidR="00EA15A3">
        <w:rPr>
          <w:rFonts w:ascii="Courier New" w:hAnsi="Courier New" w:cs="Courier New"/>
          <w:szCs w:val="24"/>
        </w:rPr>
        <w:t xml:space="preserve"> MWh, a </w:t>
      </w:r>
      <w:r w:rsidR="00364091">
        <w:rPr>
          <w:rFonts w:ascii="Courier New" w:hAnsi="Courier New" w:cs="Courier New"/>
          <w:szCs w:val="24"/>
        </w:rPr>
        <w:t>6</w:t>
      </w:r>
      <w:r w:rsidR="00EA15A3">
        <w:rPr>
          <w:rFonts w:ascii="Courier New" w:hAnsi="Courier New" w:cs="Courier New"/>
          <w:szCs w:val="24"/>
        </w:rPr>
        <w:t xml:space="preserve"> percent increase from last year’s forecast. Lastly, a</w:t>
      </w:r>
      <w:r w:rsidR="00365539">
        <w:rPr>
          <w:rFonts w:ascii="Courier New" w:hAnsi="Courier New" w:cs="Courier New"/>
          <w:szCs w:val="24"/>
        </w:rPr>
        <w:t>ctual surplus sales volumes totaled 1,</w:t>
      </w:r>
      <w:r w:rsidR="00364091">
        <w:rPr>
          <w:rFonts w:ascii="Courier New" w:hAnsi="Courier New" w:cs="Courier New"/>
          <w:szCs w:val="24"/>
        </w:rPr>
        <w:t>4</w:t>
      </w:r>
      <w:r w:rsidR="00EA15A3">
        <w:rPr>
          <w:rFonts w:ascii="Courier New" w:hAnsi="Courier New" w:cs="Courier New"/>
          <w:szCs w:val="24"/>
        </w:rPr>
        <w:t>55,</w:t>
      </w:r>
      <w:r w:rsidR="00364091">
        <w:rPr>
          <w:rFonts w:ascii="Courier New" w:hAnsi="Courier New" w:cs="Courier New"/>
          <w:szCs w:val="24"/>
        </w:rPr>
        <w:t>119</w:t>
      </w:r>
      <w:r w:rsidR="00365539">
        <w:rPr>
          <w:rFonts w:ascii="Courier New" w:hAnsi="Courier New" w:cs="Courier New"/>
          <w:szCs w:val="24"/>
        </w:rPr>
        <w:t xml:space="preserve"> MWh,</w:t>
      </w:r>
      <w:r>
        <w:rPr>
          <w:rFonts w:ascii="Courier New" w:hAnsi="Courier New" w:cs="Courier New"/>
          <w:szCs w:val="24"/>
        </w:rPr>
        <w:t xml:space="preserve"> an increase of </w:t>
      </w:r>
      <w:r w:rsidR="00364091">
        <w:rPr>
          <w:rFonts w:ascii="Courier New" w:hAnsi="Courier New" w:cs="Courier New"/>
          <w:szCs w:val="24"/>
        </w:rPr>
        <w:t>16</w:t>
      </w:r>
      <w:r>
        <w:rPr>
          <w:rFonts w:ascii="Courier New" w:hAnsi="Courier New" w:cs="Courier New"/>
          <w:szCs w:val="24"/>
        </w:rPr>
        <w:t xml:space="preserve"> percent from</w:t>
      </w:r>
      <w:r w:rsidR="00365539">
        <w:rPr>
          <w:rFonts w:ascii="Courier New" w:hAnsi="Courier New" w:cs="Courier New"/>
          <w:szCs w:val="24"/>
        </w:rPr>
        <w:t xml:space="preserve"> </w:t>
      </w:r>
      <w:r w:rsidR="00EA15A3">
        <w:rPr>
          <w:rFonts w:ascii="Courier New" w:hAnsi="Courier New" w:cs="Courier New"/>
          <w:szCs w:val="24"/>
        </w:rPr>
        <w:t>last year</w:t>
      </w:r>
      <w:r w:rsidR="00365539">
        <w:rPr>
          <w:rFonts w:ascii="Courier New" w:hAnsi="Courier New" w:cs="Courier New"/>
          <w:szCs w:val="24"/>
        </w:rPr>
        <w:t>.</w:t>
      </w:r>
      <w:r>
        <w:rPr>
          <w:rFonts w:ascii="Courier New" w:hAnsi="Courier New" w:cs="Courier New"/>
          <w:szCs w:val="24"/>
        </w:rPr>
        <w:t xml:space="preserve"> </w:t>
      </w:r>
    </w:p>
    <w:p w14:paraId="614D019C" w14:textId="293AEE80" w:rsidR="00EA15A3" w:rsidRDefault="00D455CF" w:rsidP="00842CC2">
      <w:pPr>
        <w:pStyle w:val="Testimony"/>
        <w:widowControl/>
        <w:tabs>
          <w:tab w:val="clear" w:pos="2160"/>
          <w:tab w:val="left" w:pos="1980"/>
        </w:tabs>
        <w:spacing w:line="456" w:lineRule="auto"/>
        <w:rPr>
          <w:rFonts w:ascii="Courier New" w:hAnsi="Courier New" w:cs="Courier New"/>
          <w:szCs w:val="24"/>
        </w:rPr>
      </w:pPr>
      <w:r>
        <w:rPr>
          <w:rFonts w:ascii="Courier New" w:hAnsi="Courier New" w:cs="Courier New"/>
          <w:szCs w:val="24"/>
        </w:rPr>
        <w:t>Actual natural gas</w:t>
      </w:r>
      <w:r w:rsidR="00EA15A3">
        <w:rPr>
          <w:rFonts w:ascii="Courier New" w:hAnsi="Courier New" w:cs="Courier New"/>
          <w:szCs w:val="24"/>
        </w:rPr>
        <w:t xml:space="preserve"> and market energy</w:t>
      </w:r>
      <w:r>
        <w:rPr>
          <w:rFonts w:ascii="Courier New" w:hAnsi="Courier New" w:cs="Courier New"/>
          <w:szCs w:val="24"/>
        </w:rPr>
        <w:t xml:space="preserve"> prices were also higher than forecast</w:t>
      </w:r>
      <w:r w:rsidR="001F5FA1">
        <w:rPr>
          <w:rFonts w:ascii="Courier New" w:hAnsi="Courier New" w:cs="Courier New"/>
          <w:szCs w:val="24"/>
        </w:rPr>
        <w:t>,</w:t>
      </w:r>
      <w:r>
        <w:rPr>
          <w:rFonts w:ascii="Courier New" w:hAnsi="Courier New" w:cs="Courier New"/>
          <w:szCs w:val="24"/>
        </w:rPr>
        <w:t xml:space="preserve"> driving a</w:t>
      </w:r>
      <w:r w:rsidR="00842CC2">
        <w:rPr>
          <w:rFonts w:ascii="Courier New" w:hAnsi="Courier New" w:cs="Courier New"/>
          <w:szCs w:val="24"/>
        </w:rPr>
        <w:t xml:space="preserve"> </w:t>
      </w:r>
      <w:r w:rsidR="00EA15A3">
        <w:rPr>
          <w:rFonts w:ascii="Courier New" w:hAnsi="Courier New" w:cs="Courier New"/>
          <w:szCs w:val="24"/>
        </w:rPr>
        <w:t>12</w:t>
      </w:r>
      <w:r w:rsidR="00364091">
        <w:rPr>
          <w:rFonts w:ascii="Courier New" w:hAnsi="Courier New" w:cs="Courier New"/>
          <w:szCs w:val="24"/>
        </w:rPr>
        <w:t>6</w:t>
      </w:r>
      <w:r w:rsidR="00842CC2">
        <w:rPr>
          <w:rFonts w:ascii="Courier New" w:hAnsi="Courier New" w:cs="Courier New"/>
          <w:szCs w:val="24"/>
        </w:rPr>
        <w:t xml:space="preserve"> percent </w:t>
      </w:r>
      <w:r>
        <w:rPr>
          <w:rFonts w:ascii="Courier New" w:hAnsi="Courier New" w:cs="Courier New"/>
          <w:szCs w:val="24"/>
        </w:rPr>
        <w:t>increase in natural gas fuel expense</w:t>
      </w:r>
      <w:r w:rsidR="00EA15A3">
        <w:rPr>
          <w:rFonts w:ascii="Courier New" w:hAnsi="Courier New" w:cs="Courier New"/>
          <w:szCs w:val="24"/>
        </w:rPr>
        <w:t xml:space="preserve"> and a 31</w:t>
      </w:r>
      <w:r w:rsidR="00364091">
        <w:rPr>
          <w:rFonts w:ascii="Courier New" w:hAnsi="Courier New" w:cs="Courier New"/>
          <w:szCs w:val="24"/>
        </w:rPr>
        <w:t>8</w:t>
      </w:r>
      <w:r w:rsidR="00EA15A3">
        <w:rPr>
          <w:rFonts w:ascii="Courier New" w:hAnsi="Courier New" w:cs="Courier New"/>
          <w:szCs w:val="24"/>
        </w:rPr>
        <w:t xml:space="preserve"> percent increase in</w:t>
      </w:r>
      <w:r w:rsidR="00F7226E">
        <w:rPr>
          <w:rFonts w:ascii="Courier New" w:hAnsi="Courier New" w:cs="Courier New"/>
          <w:szCs w:val="24"/>
        </w:rPr>
        <w:t xml:space="preserve"> </w:t>
      </w:r>
      <w:r w:rsidR="00EA15A3">
        <w:rPr>
          <w:rFonts w:ascii="Courier New" w:hAnsi="Courier New" w:cs="Courier New"/>
          <w:szCs w:val="24"/>
        </w:rPr>
        <w:t>purchased power expense</w:t>
      </w:r>
      <w:r>
        <w:rPr>
          <w:rFonts w:ascii="Courier New" w:hAnsi="Courier New" w:cs="Courier New"/>
          <w:szCs w:val="24"/>
        </w:rPr>
        <w:t xml:space="preserve">. </w:t>
      </w:r>
    </w:p>
    <w:p w14:paraId="3025213E" w14:textId="2E79F5C8" w:rsidR="00253FD9" w:rsidRPr="00842CC2" w:rsidRDefault="00253FD9" w:rsidP="00253FD9">
      <w:pPr>
        <w:pStyle w:val="Testimony"/>
        <w:widowControl/>
        <w:tabs>
          <w:tab w:val="clear" w:pos="2160"/>
          <w:tab w:val="left" w:pos="1980"/>
        </w:tabs>
        <w:spacing w:line="456" w:lineRule="auto"/>
        <w:rPr>
          <w:rFonts w:ascii="Courier New" w:hAnsi="Courier New" w:cs="Courier New"/>
          <w:szCs w:val="24"/>
        </w:rPr>
      </w:pPr>
      <w:r>
        <w:rPr>
          <w:rFonts w:ascii="Courier New" w:hAnsi="Courier New" w:cs="Courier New"/>
          <w:szCs w:val="24"/>
        </w:rPr>
        <w:t>In addition, due to the limited coal supply, the Company began optimizing its coal-fired generation dispatch in October 2022. At a high level, this dispatch optimization process involved reducing coal unit dispatch during lower market price conditions to ensure the plants were available to operate during high load and/or high market price conditions. As a result, actual coal-fired generation totaled 3,26</w:t>
      </w:r>
      <w:r w:rsidR="00364091">
        <w:rPr>
          <w:rFonts w:ascii="Courier New" w:hAnsi="Courier New" w:cs="Courier New"/>
          <w:szCs w:val="24"/>
        </w:rPr>
        <w:t>5</w:t>
      </w:r>
      <w:r>
        <w:rPr>
          <w:rFonts w:ascii="Courier New" w:hAnsi="Courier New" w:cs="Courier New"/>
          <w:szCs w:val="24"/>
        </w:rPr>
        <w:t>,</w:t>
      </w:r>
      <w:r w:rsidR="00364091">
        <w:rPr>
          <w:rFonts w:ascii="Courier New" w:hAnsi="Courier New" w:cs="Courier New"/>
          <w:szCs w:val="24"/>
        </w:rPr>
        <w:t>218</w:t>
      </w:r>
      <w:r>
        <w:rPr>
          <w:rFonts w:ascii="Courier New" w:hAnsi="Courier New" w:cs="Courier New"/>
          <w:szCs w:val="24"/>
        </w:rPr>
        <w:t xml:space="preserve"> MWh, a decrease of 36 percent compared to last year’s forecast. </w:t>
      </w:r>
    </w:p>
    <w:p w14:paraId="02C93211" w14:textId="071B6C27" w:rsidR="00E14FE1" w:rsidRDefault="00E14FE1" w:rsidP="00022A04">
      <w:pPr>
        <w:pStyle w:val="Testimony"/>
        <w:widowControl/>
        <w:tabs>
          <w:tab w:val="clear" w:pos="2160"/>
          <w:tab w:val="left" w:pos="1980"/>
        </w:tabs>
        <w:spacing w:line="456" w:lineRule="auto"/>
        <w:rPr>
          <w:rFonts w:ascii="Courier New" w:hAnsi="Courier New" w:cs="Courier New"/>
          <w:szCs w:val="24"/>
        </w:rPr>
      </w:pPr>
      <w:r>
        <w:rPr>
          <w:rFonts w:ascii="Courier New" w:hAnsi="Courier New" w:cs="Courier New"/>
          <w:szCs w:val="24"/>
        </w:rPr>
        <w:t>Q.</w:t>
      </w:r>
      <w:r>
        <w:rPr>
          <w:rFonts w:ascii="Courier New" w:hAnsi="Courier New" w:cs="Courier New"/>
          <w:szCs w:val="24"/>
        </w:rPr>
        <w:tab/>
        <w:t xml:space="preserve">Please elaborate on the changes in actual versus forecast generation and expense for the </w:t>
      </w:r>
      <w:r w:rsidR="00202300">
        <w:rPr>
          <w:rFonts w:ascii="Courier New" w:hAnsi="Courier New" w:cs="Courier New"/>
          <w:szCs w:val="24"/>
        </w:rPr>
        <w:t>2022</w:t>
      </w:r>
      <w:r>
        <w:rPr>
          <w:rFonts w:ascii="Courier New" w:hAnsi="Courier New" w:cs="Courier New"/>
          <w:szCs w:val="24"/>
        </w:rPr>
        <w:t>-</w:t>
      </w:r>
      <w:r w:rsidR="00202300">
        <w:rPr>
          <w:rFonts w:ascii="Courier New" w:hAnsi="Courier New" w:cs="Courier New"/>
          <w:szCs w:val="24"/>
        </w:rPr>
        <w:t>2023</w:t>
      </w:r>
      <w:r>
        <w:rPr>
          <w:rFonts w:ascii="Courier New" w:hAnsi="Courier New" w:cs="Courier New"/>
          <w:szCs w:val="24"/>
        </w:rPr>
        <w:t xml:space="preserve"> PCA Year.</w:t>
      </w:r>
    </w:p>
    <w:p w14:paraId="7B925EA2" w14:textId="439B2727" w:rsidR="00036F31" w:rsidRDefault="00E14FE1" w:rsidP="00022A04">
      <w:pPr>
        <w:pStyle w:val="Testimony"/>
        <w:widowControl/>
        <w:tabs>
          <w:tab w:val="clear" w:pos="2160"/>
          <w:tab w:val="left" w:pos="1980"/>
        </w:tabs>
        <w:spacing w:line="456" w:lineRule="auto"/>
        <w:rPr>
          <w:rFonts w:ascii="Courier New" w:hAnsi="Courier New" w:cs="Courier New"/>
          <w:szCs w:val="24"/>
        </w:rPr>
      </w:pPr>
      <w:r>
        <w:rPr>
          <w:rFonts w:ascii="Courier New" w:hAnsi="Courier New" w:cs="Courier New"/>
          <w:szCs w:val="24"/>
        </w:rPr>
        <w:t>A.</w:t>
      </w:r>
      <w:r>
        <w:rPr>
          <w:rFonts w:ascii="Courier New" w:hAnsi="Courier New" w:cs="Courier New"/>
          <w:szCs w:val="24"/>
        </w:rPr>
        <w:tab/>
      </w:r>
      <w:r w:rsidR="00036F31" w:rsidRPr="001726C8">
        <w:rPr>
          <w:rFonts w:ascii="Courier New" w:hAnsi="Courier New" w:cs="Courier New"/>
          <w:szCs w:val="24"/>
        </w:rPr>
        <w:t>Last year’s PCA forecast included an average market sales price of $</w:t>
      </w:r>
      <w:r w:rsidR="00EA15A3">
        <w:rPr>
          <w:rFonts w:ascii="Courier New" w:hAnsi="Courier New" w:cs="Courier New"/>
          <w:szCs w:val="24"/>
        </w:rPr>
        <w:t>51.73</w:t>
      </w:r>
      <w:r w:rsidR="00855108" w:rsidRPr="001726C8">
        <w:rPr>
          <w:rFonts w:ascii="Courier New" w:hAnsi="Courier New" w:cs="Courier New"/>
          <w:szCs w:val="24"/>
        </w:rPr>
        <w:t xml:space="preserve"> </w:t>
      </w:r>
      <w:r w:rsidR="00036F31" w:rsidRPr="001726C8">
        <w:rPr>
          <w:rFonts w:ascii="Courier New" w:hAnsi="Courier New" w:cs="Courier New"/>
          <w:szCs w:val="24"/>
        </w:rPr>
        <w:t>per MWh. The actual average market sales price</w:t>
      </w:r>
      <w:r w:rsidR="001828D7">
        <w:rPr>
          <w:rFonts w:ascii="Courier New" w:hAnsi="Courier New" w:cs="Courier New"/>
          <w:szCs w:val="24"/>
        </w:rPr>
        <w:t xml:space="preserve"> for the </w:t>
      </w:r>
      <w:r w:rsidR="00202300">
        <w:rPr>
          <w:rFonts w:ascii="Courier New" w:hAnsi="Courier New" w:cs="Courier New"/>
          <w:szCs w:val="24"/>
        </w:rPr>
        <w:t>2022</w:t>
      </w:r>
      <w:r w:rsidR="001828D7">
        <w:rPr>
          <w:rFonts w:ascii="Courier New" w:hAnsi="Courier New" w:cs="Courier New"/>
          <w:szCs w:val="24"/>
        </w:rPr>
        <w:t>-</w:t>
      </w:r>
      <w:r w:rsidR="00202300">
        <w:rPr>
          <w:rFonts w:ascii="Courier New" w:hAnsi="Courier New" w:cs="Courier New"/>
          <w:szCs w:val="24"/>
        </w:rPr>
        <w:t>2023</w:t>
      </w:r>
      <w:r w:rsidR="001828D7">
        <w:rPr>
          <w:rFonts w:ascii="Courier New" w:hAnsi="Courier New" w:cs="Courier New"/>
          <w:szCs w:val="24"/>
        </w:rPr>
        <w:t xml:space="preserve"> PCA year</w:t>
      </w:r>
      <w:r w:rsidR="00036F31" w:rsidRPr="001726C8">
        <w:rPr>
          <w:rFonts w:ascii="Courier New" w:hAnsi="Courier New" w:cs="Courier New"/>
          <w:szCs w:val="24"/>
        </w:rPr>
        <w:t xml:space="preserve"> was $</w:t>
      </w:r>
      <w:r w:rsidR="000F4E92">
        <w:rPr>
          <w:rFonts w:ascii="Courier New" w:hAnsi="Courier New" w:cs="Courier New"/>
          <w:szCs w:val="24"/>
        </w:rPr>
        <w:t>1</w:t>
      </w:r>
      <w:r w:rsidR="00364091">
        <w:rPr>
          <w:rFonts w:ascii="Courier New" w:hAnsi="Courier New" w:cs="Courier New"/>
          <w:szCs w:val="24"/>
        </w:rPr>
        <w:t>16</w:t>
      </w:r>
      <w:r w:rsidR="000F4E92">
        <w:rPr>
          <w:rFonts w:ascii="Courier New" w:hAnsi="Courier New" w:cs="Courier New"/>
          <w:szCs w:val="24"/>
        </w:rPr>
        <w:t>.</w:t>
      </w:r>
      <w:r w:rsidR="00364091">
        <w:rPr>
          <w:rFonts w:ascii="Courier New" w:hAnsi="Courier New" w:cs="Courier New"/>
          <w:szCs w:val="24"/>
        </w:rPr>
        <w:t>98</w:t>
      </w:r>
      <w:r w:rsidR="00036F31" w:rsidRPr="001726C8">
        <w:rPr>
          <w:rFonts w:ascii="Courier New" w:hAnsi="Courier New" w:cs="Courier New"/>
          <w:szCs w:val="24"/>
        </w:rPr>
        <w:t xml:space="preserve"> per MWh, a </w:t>
      </w:r>
      <w:r w:rsidR="000F4E92">
        <w:rPr>
          <w:rFonts w:ascii="Courier New" w:hAnsi="Courier New" w:cs="Courier New"/>
          <w:szCs w:val="24"/>
        </w:rPr>
        <w:t>1</w:t>
      </w:r>
      <w:r w:rsidR="00364091">
        <w:rPr>
          <w:rFonts w:ascii="Courier New" w:hAnsi="Courier New" w:cs="Courier New"/>
          <w:szCs w:val="24"/>
        </w:rPr>
        <w:t>26</w:t>
      </w:r>
      <w:r w:rsidR="00036F31" w:rsidRPr="001726C8">
        <w:rPr>
          <w:rFonts w:ascii="Courier New" w:hAnsi="Courier New" w:cs="Courier New"/>
          <w:szCs w:val="24"/>
        </w:rPr>
        <w:t xml:space="preserve"> percent </w:t>
      </w:r>
      <w:r w:rsidR="00036F31">
        <w:rPr>
          <w:rFonts w:ascii="Courier New" w:hAnsi="Courier New" w:cs="Courier New"/>
          <w:szCs w:val="24"/>
        </w:rPr>
        <w:t>in</w:t>
      </w:r>
      <w:r w:rsidR="00036F31" w:rsidRPr="001726C8">
        <w:rPr>
          <w:rFonts w:ascii="Courier New" w:hAnsi="Courier New" w:cs="Courier New"/>
          <w:szCs w:val="24"/>
        </w:rPr>
        <w:t xml:space="preserve">crease. As a result of the difference in forecast and actual market </w:t>
      </w:r>
      <w:r w:rsidR="00036F31">
        <w:rPr>
          <w:rFonts w:ascii="Courier New" w:hAnsi="Courier New" w:cs="Courier New"/>
          <w:szCs w:val="24"/>
        </w:rPr>
        <w:t>sales</w:t>
      </w:r>
      <w:r w:rsidR="00036F31" w:rsidRPr="001726C8">
        <w:rPr>
          <w:rFonts w:ascii="Courier New" w:hAnsi="Courier New" w:cs="Courier New"/>
          <w:szCs w:val="24"/>
        </w:rPr>
        <w:t xml:space="preserve"> price</w:t>
      </w:r>
      <w:r w:rsidR="00036F31">
        <w:rPr>
          <w:rFonts w:ascii="Courier New" w:hAnsi="Courier New" w:cs="Courier New"/>
          <w:szCs w:val="24"/>
        </w:rPr>
        <w:t>s</w:t>
      </w:r>
      <w:r w:rsidR="00036F31" w:rsidRPr="001726C8">
        <w:rPr>
          <w:rFonts w:ascii="Courier New" w:hAnsi="Courier New" w:cs="Courier New"/>
          <w:szCs w:val="24"/>
        </w:rPr>
        <w:t>,</w:t>
      </w:r>
      <w:r w:rsidR="00F46820">
        <w:rPr>
          <w:rFonts w:ascii="Courier New" w:hAnsi="Courier New" w:cs="Courier New"/>
          <w:szCs w:val="24"/>
        </w:rPr>
        <w:t xml:space="preserve"> as well as economic opportunity during</w:t>
      </w:r>
      <w:r w:rsidR="002049B5">
        <w:rPr>
          <w:rFonts w:ascii="Courier New" w:hAnsi="Courier New" w:cs="Courier New"/>
          <w:szCs w:val="24"/>
        </w:rPr>
        <w:t xml:space="preserve"> the</w:t>
      </w:r>
      <w:r w:rsidR="00F46820">
        <w:rPr>
          <w:rFonts w:ascii="Courier New" w:hAnsi="Courier New" w:cs="Courier New"/>
          <w:szCs w:val="24"/>
        </w:rPr>
        <w:t xml:space="preserve"> </w:t>
      </w:r>
      <w:r w:rsidR="0055670E">
        <w:rPr>
          <w:rFonts w:ascii="Courier New" w:hAnsi="Courier New" w:cs="Courier New"/>
          <w:szCs w:val="24"/>
        </w:rPr>
        <w:t>s</w:t>
      </w:r>
      <w:r w:rsidR="00F46820">
        <w:rPr>
          <w:rFonts w:ascii="Courier New" w:hAnsi="Courier New" w:cs="Courier New"/>
          <w:szCs w:val="24"/>
        </w:rPr>
        <w:t xml:space="preserve">pring and </w:t>
      </w:r>
      <w:r w:rsidR="0055670E">
        <w:rPr>
          <w:rFonts w:ascii="Courier New" w:hAnsi="Courier New" w:cs="Courier New"/>
          <w:szCs w:val="24"/>
        </w:rPr>
        <w:t>w</w:t>
      </w:r>
      <w:r w:rsidR="00F46820">
        <w:rPr>
          <w:rFonts w:ascii="Courier New" w:hAnsi="Courier New" w:cs="Courier New"/>
          <w:szCs w:val="24"/>
        </w:rPr>
        <w:t xml:space="preserve">inter </w:t>
      </w:r>
      <w:r w:rsidR="00F46820">
        <w:rPr>
          <w:rFonts w:ascii="Courier New" w:hAnsi="Courier New" w:cs="Courier New"/>
          <w:szCs w:val="24"/>
        </w:rPr>
        <w:lastRenderedPageBreak/>
        <w:t>months</w:t>
      </w:r>
      <w:r w:rsidR="002049B5">
        <w:rPr>
          <w:rFonts w:ascii="Courier New" w:hAnsi="Courier New" w:cs="Courier New"/>
          <w:szCs w:val="24"/>
        </w:rPr>
        <w:t xml:space="preserve"> of the </w:t>
      </w:r>
      <w:r w:rsidR="00202300">
        <w:rPr>
          <w:rFonts w:ascii="Courier New" w:hAnsi="Courier New" w:cs="Courier New"/>
          <w:szCs w:val="24"/>
        </w:rPr>
        <w:t>2022</w:t>
      </w:r>
      <w:r w:rsidR="002049B5">
        <w:rPr>
          <w:rFonts w:ascii="Courier New" w:hAnsi="Courier New" w:cs="Courier New"/>
          <w:szCs w:val="24"/>
        </w:rPr>
        <w:t>-</w:t>
      </w:r>
      <w:r w:rsidR="00202300">
        <w:rPr>
          <w:rFonts w:ascii="Courier New" w:hAnsi="Courier New" w:cs="Courier New"/>
          <w:szCs w:val="24"/>
        </w:rPr>
        <w:t>2023</w:t>
      </w:r>
      <w:r w:rsidR="002049B5">
        <w:rPr>
          <w:rFonts w:ascii="Courier New" w:hAnsi="Courier New" w:cs="Courier New"/>
          <w:szCs w:val="24"/>
        </w:rPr>
        <w:t xml:space="preserve"> PCA year</w:t>
      </w:r>
      <w:r w:rsidR="00F46820">
        <w:rPr>
          <w:rFonts w:ascii="Courier New" w:hAnsi="Courier New" w:cs="Courier New"/>
          <w:szCs w:val="24"/>
        </w:rPr>
        <w:t>,</w:t>
      </w:r>
      <w:r w:rsidR="00036F31" w:rsidRPr="001726C8">
        <w:rPr>
          <w:rFonts w:ascii="Courier New" w:hAnsi="Courier New" w:cs="Courier New"/>
          <w:szCs w:val="24"/>
        </w:rPr>
        <w:t xml:space="preserve"> </w:t>
      </w:r>
      <w:r w:rsidR="00036F31" w:rsidRPr="00592460">
        <w:rPr>
          <w:rFonts w:ascii="Courier New" w:hAnsi="Courier New" w:cs="Courier New"/>
          <w:szCs w:val="24"/>
        </w:rPr>
        <w:t xml:space="preserve">actual surplus sales volumes were </w:t>
      </w:r>
      <w:r w:rsidR="00364091">
        <w:rPr>
          <w:rFonts w:ascii="Courier New" w:hAnsi="Courier New" w:cs="Courier New"/>
          <w:szCs w:val="24"/>
        </w:rPr>
        <w:t>16</w:t>
      </w:r>
      <w:r w:rsidR="00036F31" w:rsidRPr="00592460">
        <w:rPr>
          <w:rFonts w:ascii="Courier New" w:hAnsi="Courier New" w:cs="Courier New"/>
          <w:szCs w:val="24"/>
        </w:rPr>
        <w:t xml:space="preserve"> percent higher than forecast</w:t>
      </w:r>
      <w:r w:rsidR="002049B5">
        <w:rPr>
          <w:rFonts w:ascii="Courier New" w:hAnsi="Courier New" w:cs="Courier New"/>
          <w:szCs w:val="24"/>
        </w:rPr>
        <w:t>.</w:t>
      </w:r>
      <w:r w:rsidR="00036F31" w:rsidRPr="00592460">
        <w:rPr>
          <w:rFonts w:ascii="Courier New" w:hAnsi="Courier New" w:cs="Courier New"/>
          <w:szCs w:val="24"/>
        </w:rPr>
        <w:t xml:space="preserve"> </w:t>
      </w:r>
      <w:r w:rsidR="002049B5">
        <w:rPr>
          <w:rFonts w:ascii="Courier New" w:hAnsi="Courier New" w:cs="Courier New"/>
          <w:szCs w:val="24"/>
        </w:rPr>
        <w:t>S</w:t>
      </w:r>
      <w:r w:rsidR="00036F31" w:rsidRPr="00592460">
        <w:rPr>
          <w:rFonts w:ascii="Courier New" w:hAnsi="Courier New" w:cs="Courier New"/>
          <w:szCs w:val="24"/>
        </w:rPr>
        <w:t xml:space="preserve">urplus </w:t>
      </w:r>
      <w:r w:rsidR="00036F31">
        <w:rPr>
          <w:rFonts w:ascii="Courier New" w:hAnsi="Courier New" w:cs="Courier New"/>
          <w:szCs w:val="24"/>
        </w:rPr>
        <w:t>s</w:t>
      </w:r>
      <w:r w:rsidR="00036F31" w:rsidRPr="00592460">
        <w:rPr>
          <w:rFonts w:ascii="Courier New" w:hAnsi="Courier New" w:cs="Courier New"/>
          <w:szCs w:val="24"/>
        </w:rPr>
        <w:t>ales revenue totaled $</w:t>
      </w:r>
      <w:r w:rsidR="000F4E92">
        <w:rPr>
          <w:rFonts w:ascii="Courier New" w:hAnsi="Courier New" w:cs="Courier New"/>
          <w:szCs w:val="24"/>
        </w:rPr>
        <w:t>17</w:t>
      </w:r>
      <w:r w:rsidR="00364091">
        <w:rPr>
          <w:rFonts w:ascii="Courier New" w:hAnsi="Courier New" w:cs="Courier New"/>
          <w:szCs w:val="24"/>
        </w:rPr>
        <w:t>0</w:t>
      </w:r>
      <w:r w:rsidR="000F4E92">
        <w:rPr>
          <w:rFonts w:ascii="Courier New" w:hAnsi="Courier New" w:cs="Courier New"/>
          <w:szCs w:val="24"/>
        </w:rPr>
        <w:t>,</w:t>
      </w:r>
      <w:r w:rsidR="00364091">
        <w:rPr>
          <w:rFonts w:ascii="Courier New" w:hAnsi="Courier New" w:cs="Courier New"/>
          <w:szCs w:val="24"/>
        </w:rPr>
        <w:t>224</w:t>
      </w:r>
      <w:r w:rsidR="000F4E92">
        <w:rPr>
          <w:rFonts w:ascii="Courier New" w:hAnsi="Courier New" w:cs="Courier New"/>
          <w:szCs w:val="24"/>
        </w:rPr>
        <w:t>,</w:t>
      </w:r>
      <w:r w:rsidR="00364091">
        <w:rPr>
          <w:rFonts w:ascii="Courier New" w:hAnsi="Courier New" w:cs="Courier New"/>
          <w:szCs w:val="24"/>
        </w:rPr>
        <w:t>982</w:t>
      </w:r>
      <w:r w:rsidR="002049B5">
        <w:rPr>
          <w:rFonts w:ascii="Courier New" w:hAnsi="Courier New" w:cs="Courier New"/>
          <w:szCs w:val="24"/>
        </w:rPr>
        <w:t>,</w:t>
      </w:r>
      <w:r w:rsidR="00036F31" w:rsidRPr="00592460">
        <w:rPr>
          <w:rFonts w:ascii="Courier New" w:hAnsi="Courier New" w:cs="Courier New"/>
          <w:szCs w:val="24"/>
        </w:rPr>
        <w:t xml:space="preserve"> which was </w:t>
      </w:r>
      <w:r w:rsidR="000F4E92">
        <w:rPr>
          <w:rFonts w:ascii="Courier New" w:hAnsi="Courier New" w:cs="Courier New"/>
          <w:szCs w:val="24"/>
        </w:rPr>
        <w:t>1</w:t>
      </w:r>
      <w:r w:rsidR="00364091">
        <w:rPr>
          <w:rFonts w:ascii="Courier New" w:hAnsi="Courier New" w:cs="Courier New"/>
          <w:szCs w:val="24"/>
        </w:rPr>
        <w:t>62</w:t>
      </w:r>
      <w:r w:rsidR="00036F31" w:rsidRPr="00592460">
        <w:rPr>
          <w:rFonts w:ascii="Courier New" w:hAnsi="Courier New" w:cs="Courier New"/>
          <w:szCs w:val="24"/>
        </w:rPr>
        <w:t xml:space="preserve"> percent higher than forecast revenues of $</w:t>
      </w:r>
      <w:r w:rsidR="000F4E92">
        <w:rPr>
          <w:rFonts w:ascii="Courier New" w:hAnsi="Courier New" w:cs="Courier New"/>
          <w:szCs w:val="24"/>
        </w:rPr>
        <w:t>65,085,848</w:t>
      </w:r>
      <w:r w:rsidR="00036F31" w:rsidRPr="00592460">
        <w:rPr>
          <w:rFonts w:ascii="Courier New" w:hAnsi="Courier New" w:cs="Courier New"/>
          <w:szCs w:val="24"/>
        </w:rPr>
        <w:t xml:space="preserve">. </w:t>
      </w:r>
    </w:p>
    <w:p w14:paraId="3945705B" w14:textId="1CD6B117" w:rsidR="001726C8" w:rsidRPr="001726C8" w:rsidRDefault="000F4E92" w:rsidP="00022A04">
      <w:pPr>
        <w:pStyle w:val="Testimony"/>
        <w:widowControl/>
        <w:tabs>
          <w:tab w:val="clear" w:pos="2160"/>
          <w:tab w:val="left" w:pos="1980"/>
        </w:tabs>
        <w:spacing w:line="456" w:lineRule="auto"/>
        <w:rPr>
          <w:rFonts w:ascii="Courier New" w:hAnsi="Courier New" w:cs="Courier New"/>
          <w:szCs w:val="24"/>
        </w:rPr>
      </w:pPr>
      <w:r>
        <w:rPr>
          <w:rFonts w:ascii="Courier New" w:hAnsi="Courier New" w:cs="Courier New"/>
          <w:szCs w:val="24"/>
        </w:rPr>
        <w:t>As mentioned above, actual c</w:t>
      </w:r>
      <w:r w:rsidR="00C8346D" w:rsidRPr="001726C8">
        <w:rPr>
          <w:rFonts w:ascii="Courier New" w:hAnsi="Courier New" w:cs="Courier New"/>
          <w:szCs w:val="24"/>
        </w:rPr>
        <w:t>oal-fired generation</w:t>
      </w:r>
      <w:r>
        <w:rPr>
          <w:rFonts w:ascii="Courier New" w:hAnsi="Courier New" w:cs="Courier New"/>
          <w:szCs w:val="24"/>
        </w:rPr>
        <w:t xml:space="preserve"> for the 2022-2023 PCA year</w:t>
      </w:r>
      <w:r w:rsidR="00C8346D" w:rsidRPr="001726C8">
        <w:rPr>
          <w:rFonts w:ascii="Courier New" w:hAnsi="Courier New" w:cs="Courier New"/>
          <w:szCs w:val="24"/>
        </w:rPr>
        <w:t xml:space="preserve"> </w:t>
      </w:r>
      <w:r>
        <w:rPr>
          <w:rFonts w:ascii="Courier New" w:hAnsi="Courier New" w:cs="Courier New"/>
          <w:szCs w:val="24"/>
        </w:rPr>
        <w:t>was 36 percent lower than</w:t>
      </w:r>
      <w:r w:rsidR="00C8346D" w:rsidRPr="001726C8">
        <w:rPr>
          <w:rFonts w:ascii="Courier New" w:hAnsi="Courier New" w:cs="Courier New"/>
          <w:szCs w:val="24"/>
        </w:rPr>
        <w:t xml:space="preserve"> forecast</w:t>
      </w:r>
      <w:r>
        <w:rPr>
          <w:rFonts w:ascii="Courier New" w:hAnsi="Courier New" w:cs="Courier New"/>
          <w:szCs w:val="24"/>
        </w:rPr>
        <w:t>.</w:t>
      </w:r>
      <w:r w:rsidR="00C8346D" w:rsidRPr="001726C8">
        <w:rPr>
          <w:rFonts w:ascii="Courier New" w:hAnsi="Courier New" w:cs="Courier New"/>
          <w:szCs w:val="24"/>
        </w:rPr>
        <w:t xml:space="preserve"> </w:t>
      </w:r>
      <w:r>
        <w:rPr>
          <w:rFonts w:ascii="Courier New" w:hAnsi="Courier New" w:cs="Courier New"/>
          <w:szCs w:val="24"/>
        </w:rPr>
        <w:t>A</w:t>
      </w:r>
      <w:r w:rsidR="008E7FB0">
        <w:rPr>
          <w:rFonts w:ascii="Courier New" w:hAnsi="Courier New" w:cs="Courier New"/>
          <w:szCs w:val="24"/>
        </w:rPr>
        <w:t xml:space="preserve">ctual </w:t>
      </w:r>
      <w:r w:rsidR="00C8346D" w:rsidRPr="001726C8">
        <w:rPr>
          <w:rFonts w:ascii="Courier New" w:hAnsi="Courier New" w:cs="Courier New"/>
          <w:szCs w:val="24"/>
        </w:rPr>
        <w:t xml:space="preserve">coal fuel expense </w:t>
      </w:r>
      <w:r>
        <w:rPr>
          <w:rFonts w:ascii="Courier New" w:hAnsi="Courier New" w:cs="Courier New"/>
          <w:szCs w:val="24"/>
        </w:rPr>
        <w:t>totaled</w:t>
      </w:r>
      <w:r w:rsidR="00C8346D" w:rsidRPr="001726C8">
        <w:rPr>
          <w:rFonts w:ascii="Courier New" w:hAnsi="Courier New" w:cs="Courier New"/>
          <w:szCs w:val="24"/>
        </w:rPr>
        <w:t xml:space="preserve"> $</w:t>
      </w:r>
      <w:r w:rsidR="00364091">
        <w:rPr>
          <w:rFonts w:ascii="Courier New" w:hAnsi="Courier New" w:cs="Courier New"/>
          <w:szCs w:val="24"/>
        </w:rPr>
        <w:t>94,955,998</w:t>
      </w:r>
      <w:r w:rsidR="002049B5">
        <w:rPr>
          <w:rFonts w:ascii="Courier New" w:hAnsi="Courier New" w:cs="Courier New"/>
          <w:szCs w:val="24"/>
        </w:rPr>
        <w:t>,</w:t>
      </w:r>
      <w:r w:rsidR="00F7226E">
        <w:rPr>
          <w:rFonts w:ascii="Courier New" w:hAnsi="Courier New" w:cs="Courier New"/>
          <w:szCs w:val="24"/>
        </w:rPr>
        <w:t xml:space="preserve"> which was</w:t>
      </w:r>
      <w:r w:rsidR="00C8346D" w:rsidRPr="001726C8">
        <w:rPr>
          <w:rFonts w:ascii="Courier New" w:hAnsi="Courier New" w:cs="Courier New"/>
          <w:szCs w:val="24"/>
        </w:rPr>
        <w:t xml:space="preserve"> </w:t>
      </w:r>
      <w:r>
        <w:rPr>
          <w:rFonts w:ascii="Courier New" w:hAnsi="Courier New" w:cs="Courier New"/>
          <w:szCs w:val="24"/>
        </w:rPr>
        <w:t>37</w:t>
      </w:r>
      <w:r w:rsidR="00C8346D" w:rsidRPr="001726C8">
        <w:rPr>
          <w:rFonts w:ascii="Courier New" w:hAnsi="Courier New" w:cs="Courier New"/>
          <w:szCs w:val="24"/>
        </w:rPr>
        <w:t xml:space="preserve"> percent</w:t>
      </w:r>
      <w:r w:rsidR="002049B5">
        <w:rPr>
          <w:rFonts w:ascii="Courier New" w:hAnsi="Courier New" w:cs="Courier New"/>
          <w:szCs w:val="24"/>
        </w:rPr>
        <w:t xml:space="preserve"> </w:t>
      </w:r>
      <w:r w:rsidR="00216200">
        <w:rPr>
          <w:rFonts w:ascii="Courier New" w:hAnsi="Courier New" w:cs="Courier New"/>
          <w:szCs w:val="24"/>
        </w:rPr>
        <w:t>lower</w:t>
      </w:r>
      <w:r w:rsidR="00C8346D" w:rsidRPr="001726C8">
        <w:rPr>
          <w:rFonts w:ascii="Courier New" w:hAnsi="Courier New" w:cs="Courier New"/>
          <w:szCs w:val="24"/>
        </w:rPr>
        <w:t xml:space="preserve"> than forecast.</w:t>
      </w:r>
      <w:r w:rsidR="00C8346D">
        <w:rPr>
          <w:rFonts w:ascii="Courier New" w:hAnsi="Courier New" w:cs="Courier New"/>
          <w:szCs w:val="24"/>
        </w:rPr>
        <w:t xml:space="preserve"> Coal-fired generation was </w:t>
      </w:r>
      <w:r w:rsidR="00216200">
        <w:rPr>
          <w:rFonts w:ascii="Courier New" w:hAnsi="Courier New" w:cs="Courier New"/>
          <w:szCs w:val="24"/>
        </w:rPr>
        <w:t>lower</w:t>
      </w:r>
      <w:r w:rsidR="00C8346D">
        <w:rPr>
          <w:rFonts w:ascii="Courier New" w:hAnsi="Courier New" w:cs="Courier New"/>
          <w:szCs w:val="24"/>
        </w:rPr>
        <w:t xml:space="preserve"> than forecast due to the </w:t>
      </w:r>
      <w:r>
        <w:rPr>
          <w:rFonts w:ascii="Courier New" w:hAnsi="Courier New" w:cs="Courier New"/>
          <w:szCs w:val="24"/>
        </w:rPr>
        <w:t>limited coal supply, as discussed earlier in testimony.</w:t>
      </w:r>
    </w:p>
    <w:p w14:paraId="37F41512" w14:textId="2371E799" w:rsidR="00890DC4" w:rsidRDefault="008E7FB0" w:rsidP="00022A04">
      <w:pPr>
        <w:pStyle w:val="Testimony"/>
        <w:widowControl/>
        <w:tabs>
          <w:tab w:val="clear" w:pos="2160"/>
          <w:tab w:val="left" w:pos="1980"/>
        </w:tabs>
        <w:spacing w:line="456" w:lineRule="auto"/>
        <w:rPr>
          <w:rFonts w:ascii="Courier New" w:hAnsi="Courier New" w:cs="Courier New"/>
          <w:szCs w:val="24"/>
        </w:rPr>
      </w:pPr>
      <w:r w:rsidRPr="001E1C47">
        <w:rPr>
          <w:rFonts w:ascii="Courier New" w:hAnsi="Courier New" w:cs="Courier New"/>
          <w:szCs w:val="24"/>
        </w:rPr>
        <w:t xml:space="preserve">Natural gas generation totaled </w:t>
      </w:r>
      <w:r>
        <w:rPr>
          <w:rFonts w:ascii="Courier New" w:hAnsi="Courier New" w:cs="Courier New"/>
          <w:szCs w:val="24"/>
        </w:rPr>
        <w:t>2</w:t>
      </w:r>
      <w:r w:rsidRPr="001E1C47">
        <w:rPr>
          <w:rFonts w:ascii="Courier New" w:hAnsi="Courier New" w:cs="Courier New"/>
          <w:szCs w:val="24"/>
        </w:rPr>
        <w:t>,</w:t>
      </w:r>
      <w:r w:rsidR="00F46820">
        <w:rPr>
          <w:rFonts w:ascii="Courier New" w:hAnsi="Courier New" w:cs="Courier New"/>
          <w:szCs w:val="24"/>
        </w:rPr>
        <w:t>7</w:t>
      </w:r>
      <w:r w:rsidR="00364091">
        <w:rPr>
          <w:rFonts w:ascii="Courier New" w:hAnsi="Courier New" w:cs="Courier New"/>
          <w:szCs w:val="24"/>
        </w:rPr>
        <w:t>16</w:t>
      </w:r>
      <w:r w:rsidRPr="001E1C47">
        <w:rPr>
          <w:rFonts w:ascii="Courier New" w:hAnsi="Courier New" w:cs="Courier New"/>
          <w:szCs w:val="24"/>
        </w:rPr>
        <w:t>,</w:t>
      </w:r>
      <w:r w:rsidR="00364091">
        <w:rPr>
          <w:rFonts w:ascii="Courier New" w:hAnsi="Courier New" w:cs="Courier New"/>
          <w:szCs w:val="24"/>
        </w:rPr>
        <w:t>835</w:t>
      </w:r>
      <w:r w:rsidRPr="001E1C47">
        <w:rPr>
          <w:rFonts w:ascii="Courier New" w:hAnsi="Courier New" w:cs="Courier New"/>
          <w:szCs w:val="24"/>
        </w:rPr>
        <w:t xml:space="preserve"> MWh for the </w:t>
      </w:r>
      <w:r w:rsidR="00202300">
        <w:rPr>
          <w:rFonts w:ascii="Courier New" w:hAnsi="Courier New" w:cs="Courier New"/>
          <w:szCs w:val="24"/>
        </w:rPr>
        <w:t>2022</w:t>
      </w:r>
      <w:r w:rsidRPr="001E1C47">
        <w:rPr>
          <w:rFonts w:ascii="Courier New" w:hAnsi="Courier New" w:cs="Courier New"/>
          <w:szCs w:val="24"/>
        </w:rPr>
        <w:t>-</w:t>
      </w:r>
      <w:r w:rsidR="00202300">
        <w:rPr>
          <w:rFonts w:ascii="Courier New" w:hAnsi="Courier New" w:cs="Courier New"/>
          <w:szCs w:val="24"/>
        </w:rPr>
        <w:t>2023</w:t>
      </w:r>
      <w:r w:rsidRPr="001E1C47">
        <w:rPr>
          <w:rFonts w:ascii="Courier New" w:hAnsi="Courier New" w:cs="Courier New"/>
          <w:szCs w:val="24"/>
        </w:rPr>
        <w:t xml:space="preserve"> PCA Year, which was </w:t>
      </w:r>
      <w:r w:rsidR="00364091">
        <w:rPr>
          <w:rFonts w:ascii="Courier New" w:hAnsi="Courier New" w:cs="Courier New"/>
          <w:szCs w:val="24"/>
        </w:rPr>
        <w:t>6</w:t>
      </w:r>
      <w:r w:rsidRPr="001E1C47">
        <w:rPr>
          <w:rFonts w:ascii="Courier New" w:hAnsi="Courier New" w:cs="Courier New"/>
          <w:szCs w:val="24"/>
        </w:rPr>
        <w:t xml:space="preserve"> percen</w:t>
      </w:r>
      <w:r w:rsidR="002049B5">
        <w:rPr>
          <w:rFonts w:ascii="Courier New" w:hAnsi="Courier New" w:cs="Courier New"/>
          <w:szCs w:val="24"/>
        </w:rPr>
        <w:t>t</w:t>
      </w:r>
      <w:r w:rsidRPr="001E1C47">
        <w:rPr>
          <w:rFonts w:ascii="Courier New" w:hAnsi="Courier New" w:cs="Courier New"/>
          <w:szCs w:val="24"/>
        </w:rPr>
        <w:t xml:space="preserve"> higher than forecast.</w:t>
      </w:r>
      <w:r w:rsidR="00E21283">
        <w:rPr>
          <w:rFonts w:ascii="Courier New" w:hAnsi="Courier New" w:cs="Courier New"/>
          <w:szCs w:val="24"/>
        </w:rPr>
        <w:t xml:space="preserve"> D</w:t>
      </w:r>
      <w:r w:rsidR="00E21283" w:rsidRPr="001E1C47">
        <w:rPr>
          <w:rFonts w:ascii="Courier New" w:hAnsi="Courier New" w:cs="Courier New"/>
          <w:szCs w:val="24"/>
        </w:rPr>
        <w:t>ue to</w:t>
      </w:r>
      <w:r w:rsidR="00E21283">
        <w:rPr>
          <w:rFonts w:ascii="Courier New" w:hAnsi="Courier New" w:cs="Courier New"/>
          <w:szCs w:val="24"/>
        </w:rPr>
        <w:t xml:space="preserve"> </w:t>
      </w:r>
      <w:r w:rsidR="00F7226E">
        <w:rPr>
          <w:rFonts w:ascii="Courier New" w:hAnsi="Courier New" w:cs="Courier New"/>
          <w:szCs w:val="24"/>
        </w:rPr>
        <w:t>the increased natural gas prices</w:t>
      </w:r>
      <w:r w:rsidR="00E21283" w:rsidRPr="001E1C47">
        <w:rPr>
          <w:rFonts w:ascii="Courier New" w:hAnsi="Courier New" w:cs="Courier New"/>
          <w:szCs w:val="24"/>
        </w:rPr>
        <w:t>, actual natural gas expense totaled $</w:t>
      </w:r>
      <w:r w:rsidR="000F4E92">
        <w:rPr>
          <w:rFonts w:ascii="Courier New" w:hAnsi="Courier New" w:cs="Courier New"/>
          <w:szCs w:val="24"/>
        </w:rPr>
        <w:t>17</w:t>
      </w:r>
      <w:r w:rsidR="00364091">
        <w:rPr>
          <w:rFonts w:ascii="Courier New" w:hAnsi="Courier New" w:cs="Courier New"/>
          <w:szCs w:val="24"/>
        </w:rPr>
        <w:t>8</w:t>
      </w:r>
      <w:r w:rsidR="000F4E92">
        <w:rPr>
          <w:rFonts w:ascii="Courier New" w:hAnsi="Courier New" w:cs="Courier New"/>
          <w:szCs w:val="24"/>
        </w:rPr>
        <w:t>,</w:t>
      </w:r>
      <w:r w:rsidR="00364091">
        <w:rPr>
          <w:rFonts w:ascii="Courier New" w:hAnsi="Courier New" w:cs="Courier New"/>
          <w:szCs w:val="24"/>
        </w:rPr>
        <w:t>317</w:t>
      </w:r>
      <w:r w:rsidR="000F4E92">
        <w:rPr>
          <w:rFonts w:ascii="Courier New" w:hAnsi="Courier New" w:cs="Courier New"/>
          <w:szCs w:val="24"/>
        </w:rPr>
        <w:t>,</w:t>
      </w:r>
      <w:r w:rsidR="00364091">
        <w:rPr>
          <w:rFonts w:ascii="Courier New" w:hAnsi="Courier New" w:cs="Courier New"/>
          <w:szCs w:val="24"/>
        </w:rPr>
        <w:t>313</w:t>
      </w:r>
      <w:r w:rsidR="00E21283" w:rsidRPr="001E1C47">
        <w:rPr>
          <w:rFonts w:ascii="Courier New" w:hAnsi="Courier New" w:cs="Courier New"/>
          <w:szCs w:val="24"/>
        </w:rPr>
        <w:t xml:space="preserve">, which was </w:t>
      </w:r>
      <w:r w:rsidR="000F4E92">
        <w:rPr>
          <w:rFonts w:ascii="Courier New" w:hAnsi="Courier New" w:cs="Courier New"/>
          <w:szCs w:val="24"/>
        </w:rPr>
        <w:t>12</w:t>
      </w:r>
      <w:r w:rsidR="00364091">
        <w:rPr>
          <w:rFonts w:ascii="Courier New" w:hAnsi="Courier New" w:cs="Courier New"/>
          <w:szCs w:val="24"/>
        </w:rPr>
        <w:t>6</w:t>
      </w:r>
      <w:r w:rsidR="00E21283" w:rsidRPr="001E1C47">
        <w:rPr>
          <w:rFonts w:ascii="Courier New" w:hAnsi="Courier New" w:cs="Courier New"/>
          <w:szCs w:val="24"/>
        </w:rPr>
        <w:t xml:space="preserve"> percent higher than forecast. </w:t>
      </w:r>
      <w:r w:rsidR="001828D7">
        <w:rPr>
          <w:rFonts w:ascii="Courier New" w:hAnsi="Courier New" w:cs="Courier New"/>
          <w:szCs w:val="24"/>
        </w:rPr>
        <w:t xml:space="preserve">While </w:t>
      </w:r>
      <w:r w:rsidR="001828D7" w:rsidRPr="00C8346D">
        <w:rPr>
          <w:rFonts w:ascii="Courier New" w:hAnsi="Courier New" w:cs="Courier New"/>
          <w:szCs w:val="24"/>
        </w:rPr>
        <w:t xml:space="preserve">natural gas prices were higher than forecast, </w:t>
      </w:r>
      <w:r w:rsidR="001828D7">
        <w:rPr>
          <w:rFonts w:ascii="Courier New" w:hAnsi="Courier New" w:cs="Courier New"/>
          <w:szCs w:val="24"/>
        </w:rPr>
        <w:t>the Company’s reliance on natural gas generation increased</w:t>
      </w:r>
      <w:r w:rsidR="001828D7" w:rsidRPr="00C8346D">
        <w:rPr>
          <w:rFonts w:ascii="Courier New" w:hAnsi="Courier New" w:cs="Courier New"/>
          <w:szCs w:val="24"/>
        </w:rPr>
        <w:t xml:space="preserve"> </w:t>
      </w:r>
      <w:r w:rsidR="00364091">
        <w:rPr>
          <w:rFonts w:ascii="Courier New" w:hAnsi="Courier New" w:cs="Courier New"/>
          <w:szCs w:val="24"/>
        </w:rPr>
        <w:t>6</w:t>
      </w:r>
      <w:r w:rsidR="001828D7" w:rsidRPr="00C8346D">
        <w:rPr>
          <w:rFonts w:ascii="Courier New" w:hAnsi="Courier New" w:cs="Courier New"/>
          <w:szCs w:val="24"/>
        </w:rPr>
        <w:t xml:space="preserve"> percent</w:t>
      </w:r>
      <w:r w:rsidR="001828D7">
        <w:rPr>
          <w:rFonts w:ascii="Courier New" w:hAnsi="Courier New" w:cs="Courier New"/>
          <w:szCs w:val="24"/>
        </w:rPr>
        <w:t xml:space="preserve"> </w:t>
      </w:r>
      <w:r w:rsidR="001828D7" w:rsidRPr="00C8346D">
        <w:rPr>
          <w:rFonts w:ascii="Courier New" w:hAnsi="Courier New" w:cs="Courier New"/>
          <w:szCs w:val="24"/>
        </w:rPr>
        <w:t xml:space="preserve">as </w:t>
      </w:r>
      <w:r w:rsidR="001828D7">
        <w:rPr>
          <w:rFonts w:ascii="Courier New" w:hAnsi="Courier New" w:cs="Courier New"/>
          <w:szCs w:val="24"/>
        </w:rPr>
        <w:t>it was</w:t>
      </w:r>
      <w:r w:rsidR="001828D7" w:rsidRPr="00C8346D">
        <w:rPr>
          <w:rFonts w:ascii="Courier New" w:hAnsi="Courier New" w:cs="Courier New"/>
          <w:szCs w:val="24"/>
        </w:rPr>
        <w:t xml:space="preserve"> needed to meet load</w:t>
      </w:r>
      <w:r w:rsidR="00564723">
        <w:rPr>
          <w:rFonts w:ascii="Courier New" w:hAnsi="Courier New" w:cs="Courier New"/>
          <w:szCs w:val="24"/>
        </w:rPr>
        <w:t>, as well as</w:t>
      </w:r>
      <w:r w:rsidR="001828D7">
        <w:rPr>
          <w:rFonts w:ascii="Courier New" w:hAnsi="Courier New" w:cs="Courier New"/>
          <w:szCs w:val="24"/>
        </w:rPr>
        <w:t xml:space="preserve"> make off-system sales</w:t>
      </w:r>
      <w:r w:rsidR="00564723">
        <w:rPr>
          <w:rFonts w:ascii="Courier New" w:hAnsi="Courier New" w:cs="Courier New"/>
          <w:szCs w:val="24"/>
        </w:rPr>
        <w:t xml:space="preserve"> when it was economic</w:t>
      </w:r>
      <w:r w:rsidR="001828D7">
        <w:rPr>
          <w:rFonts w:ascii="Courier New" w:hAnsi="Courier New" w:cs="Courier New"/>
          <w:szCs w:val="24"/>
        </w:rPr>
        <w:t>, as noted previously</w:t>
      </w:r>
      <w:r w:rsidR="001828D7" w:rsidRPr="00C8346D">
        <w:rPr>
          <w:rFonts w:ascii="Courier New" w:hAnsi="Courier New" w:cs="Courier New"/>
          <w:szCs w:val="24"/>
        </w:rPr>
        <w:t>.</w:t>
      </w:r>
    </w:p>
    <w:p w14:paraId="29D92E5B" w14:textId="77777777" w:rsidR="00BE72B7" w:rsidRPr="001E1C47" w:rsidRDefault="001B66F0" w:rsidP="00022A04">
      <w:pPr>
        <w:pStyle w:val="Testimony"/>
        <w:widowControl/>
        <w:tabs>
          <w:tab w:val="clear" w:pos="2160"/>
          <w:tab w:val="left" w:pos="1980"/>
        </w:tabs>
        <w:spacing w:line="456" w:lineRule="auto"/>
        <w:rPr>
          <w:rFonts w:ascii="Courier New" w:hAnsi="Courier New" w:cs="Courier New"/>
          <w:szCs w:val="24"/>
        </w:rPr>
      </w:pPr>
      <w:r>
        <w:rPr>
          <w:rFonts w:ascii="Courier New" w:hAnsi="Courier New" w:cs="Courier New"/>
          <w:szCs w:val="24"/>
        </w:rPr>
        <w:t>While</w:t>
      </w:r>
      <w:r w:rsidR="00E14FE1" w:rsidRPr="00C8346D">
        <w:rPr>
          <w:rFonts w:ascii="Courier New" w:hAnsi="Courier New" w:cs="Courier New"/>
          <w:szCs w:val="24"/>
        </w:rPr>
        <w:t xml:space="preserve"> </w:t>
      </w:r>
      <w:r>
        <w:rPr>
          <w:rFonts w:ascii="Courier New" w:hAnsi="Courier New" w:cs="Courier New"/>
          <w:szCs w:val="24"/>
        </w:rPr>
        <w:t xml:space="preserve">both purchased power and surplus sales increased, surplus sale volumes were highest in off-peak </w:t>
      </w:r>
      <w:r w:rsidR="0055670E">
        <w:rPr>
          <w:rFonts w:ascii="Courier New" w:hAnsi="Courier New" w:cs="Courier New"/>
          <w:szCs w:val="24"/>
        </w:rPr>
        <w:t>s</w:t>
      </w:r>
      <w:r>
        <w:rPr>
          <w:rFonts w:ascii="Courier New" w:hAnsi="Courier New" w:cs="Courier New"/>
          <w:szCs w:val="24"/>
        </w:rPr>
        <w:t xml:space="preserve">pring and </w:t>
      </w:r>
      <w:r w:rsidR="0055670E">
        <w:rPr>
          <w:rFonts w:ascii="Courier New" w:hAnsi="Courier New" w:cs="Courier New"/>
          <w:szCs w:val="24"/>
        </w:rPr>
        <w:t>w</w:t>
      </w:r>
      <w:r>
        <w:rPr>
          <w:rFonts w:ascii="Courier New" w:hAnsi="Courier New" w:cs="Courier New"/>
          <w:szCs w:val="24"/>
        </w:rPr>
        <w:t xml:space="preserve">inter months, and purchased power was highest in </w:t>
      </w:r>
      <w:r w:rsidR="0055670E">
        <w:rPr>
          <w:rFonts w:ascii="Courier New" w:hAnsi="Courier New" w:cs="Courier New"/>
          <w:szCs w:val="24"/>
        </w:rPr>
        <w:t>s</w:t>
      </w:r>
      <w:r>
        <w:rPr>
          <w:rFonts w:ascii="Courier New" w:hAnsi="Courier New" w:cs="Courier New"/>
          <w:szCs w:val="24"/>
        </w:rPr>
        <w:t>ummer months, where hot temperatures caused continuous</w:t>
      </w:r>
      <w:r w:rsidR="001828D7">
        <w:rPr>
          <w:rFonts w:ascii="Courier New" w:hAnsi="Courier New" w:cs="Courier New"/>
          <w:szCs w:val="24"/>
        </w:rPr>
        <w:t>ly</w:t>
      </w:r>
      <w:r>
        <w:rPr>
          <w:rFonts w:ascii="Courier New" w:hAnsi="Courier New" w:cs="Courier New"/>
          <w:szCs w:val="24"/>
        </w:rPr>
        <w:t xml:space="preserve"> higher than forecast peak loads.</w:t>
      </w:r>
    </w:p>
    <w:p w14:paraId="0BD4123B" w14:textId="4296AE46" w:rsidR="00D00041" w:rsidRPr="00984E60" w:rsidRDefault="00D00041" w:rsidP="00D00041">
      <w:pPr>
        <w:pStyle w:val="Testimony"/>
        <w:widowControl/>
        <w:tabs>
          <w:tab w:val="clear" w:pos="2160"/>
          <w:tab w:val="left" w:pos="1980"/>
        </w:tabs>
        <w:spacing w:line="456" w:lineRule="auto"/>
        <w:rPr>
          <w:rFonts w:ascii="Courier New" w:hAnsi="Courier New" w:cs="Courier New"/>
          <w:szCs w:val="24"/>
        </w:rPr>
      </w:pPr>
      <w:r w:rsidRPr="00984E60">
        <w:rPr>
          <w:rFonts w:ascii="Courier New" w:hAnsi="Courier New" w:cs="Courier New"/>
          <w:szCs w:val="24"/>
        </w:rPr>
        <w:lastRenderedPageBreak/>
        <w:t>Q.</w:t>
      </w:r>
      <w:r w:rsidRPr="00984E60">
        <w:rPr>
          <w:rFonts w:ascii="Courier New" w:hAnsi="Courier New" w:cs="Courier New"/>
          <w:szCs w:val="24"/>
        </w:rPr>
        <w:tab/>
        <w:t xml:space="preserve">Were there any items included in this year’s </w:t>
      </w:r>
      <w:r w:rsidR="002049B5">
        <w:rPr>
          <w:rFonts w:ascii="Courier New" w:hAnsi="Courier New" w:cs="Courier New"/>
          <w:szCs w:val="24"/>
        </w:rPr>
        <w:t>Balancing Adjustment</w:t>
      </w:r>
      <w:r w:rsidRPr="00984E60">
        <w:rPr>
          <w:rFonts w:ascii="Courier New" w:hAnsi="Courier New" w:cs="Courier New"/>
          <w:szCs w:val="24"/>
        </w:rPr>
        <w:t xml:space="preserve"> in addition to actual NPSE incurred during the April </w:t>
      </w:r>
      <w:r w:rsidR="00202300">
        <w:rPr>
          <w:rFonts w:ascii="Courier New" w:hAnsi="Courier New" w:cs="Courier New"/>
          <w:szCs w:val="24"/>
        </w:rPr>
        <w:t>2022</w:t>
      </w:r>
      <w:r w:rsidRPr="00984E60">
        <w:rPr>
          <w:rFonts w:ascii="Courier New" w:hAnsi="Courier New" w:cs="Courier New"/>
          <w:szCs w:val="24"/>
        </w:rPr>
        <w:t xml:space="preserve"> through March </w:t>
      </w:r>
      <w:r w:rsidR="00202300">
        <w:rPr>
          <w:rFonts w:ascii="Courier New" w:hAnsi="Courier New" w:cs="Courier New"/>
          <w:szCs w:val="24"/>
        </w:rPr>
        <w:t>2023</w:t>
      </w:r>
      <w:r w:rsidRPr="00984E60">
        <w:rPr>
          <w:rFonts w:ascii="Courier New" w:hAnsi="Courier New" w:cs="Courier New"/>
          <w:szCs w:val="24"/>
        </w:rPr>
        <w:t xml:space="preserve"> period?</w:t>
      </w:r>
    </w:p>
    <w:p w14:paraId="61CC2B9C" w14:textId="5799D079" w:rsidR="00D00041" w:rsidRPr="00984E60" w:rsidRDefault="00D00041" w:rsidP="00D00041">
      <w:pPr>
        <w:pStyle w:val="Testimony"/>
        <w:widowControl/>
        <w:tabs>
          <w:tab w:val="clear" w:pos="2160"/>
          <w:tab w:val="left" w:pos="1980"/>
        </w:tabs>
        <w:spacing w:line="456" w:lineRule="auto"/>
        <w:rPr>
          <w:rFonts w:ascii="Courier New" w:hAnsi="Courier New" w:cs="Courier New"/>
          <w:szCs w:val="24"/>
        </w:rPr>
      </w:pPr>
      <w:r w:rsidRPr="00984E60">
        <w:rPr>
          <w:rFonts w:ascii="Courier New" w:hAnsi="Courier New" w:cs="Courier New"/>
          <w:szCs w:val="24"/>
        </w:rPr>
        <w:t>A.</w:t>
      </w:r>
      <w:r w:rsidRPr="00984E60">
        <w:rPr>
          <w:rFonts w:ascii="Courier New" w:hAnsi="Courier New" w:cs="Courier New"/>
          <w:szCs w:val="24"/>
        </w:rPr>
        <w:tab/>
      </w:r>
      <w:r w:rsidRPr="001B66F0">
        <w:rPr>
          <w:rFonts w:ascii="Courier New" w:hAnsi="Courier New" w:cs="Courier New"/>
          <w:szCs w:val="24"/>
        </w:rPr>
        <w:t xml:space="preserve">Yes.  Per Commission Order No. 34100, Idaho Power included its actual costs of Western Energy Imbalance Market (“EIM”) participation for April </w:t>
      </w:r>
      <w:r w:rsidR="00202300">
        <w:rPr>
          <w:rFonts w:ascii="Courier New" w:hAnsi="Courier New" w:cs="Courier New"/>
          <w:szCs w:val="24"/>
        </w:rPr>
        <w:t>2022</w:t>
      </w:r>
      <w:r w:rsidRPr="001B66F0">
        <w:rPr>
          <w:rFonts w:ascii="Courier New" w:hAnsi="Courier New" w:cs="Courier New"/>
          <w:szCs w:val="24"/>
        </w:rPr>
        <w:t xml:space="preserve"> through March </w:t>
      </w:r>
      <w:r w:rsidR="00202300">
        <w:rPr>
          <w:rFonts w:ascii="Courier New" w:hAnsi="Courier New" w:cs="Courier New"/>
          <w:szCs w:val="24"/>
        </w:rPr>
        <w:t>2023</w:t>
      </w:r>
      <w:r w:rsidRPr="001B66F0">
        <w:rPr>
          <w:rFonts w:ascii="Courier New" w:hAnsi="Courier New" w:cs="Courier New"/>
          <w:szCs w:val="24"/>
        </w:rPr>
        <w:t xml:space="preserve"> in the </w:t>
      </w:r>
      <w:r w:rsidR="0055670E">
        <w:rPr>
          <w:rFonts w:ascii="Courier New" w:hAnsi="Courier New" w:cs="Courier New"/>
          <w:szCs w:val="24"/>
        </w:rPr>
        <w:t>Balanc</w:t>
      </w:r>
      <w:r w:rsidR="005C2A29">
        <w:rPr>
          <w:rFonts w:ascii="Courier New" w:hAnsi="Courier New" w:cs="Courier New"/>
          <w:szCs w:val="24"/>
        </w:rPr>
        <w:t>ing</w:t>
      </w:r>
      <w:r w:rsidR="0055670E">
        <w:rPr>
          <w:rFonts w:ascii="Courier New" w:hAnsi="Courier New" w:cs="Courier New"/>
          <w:szCs w:val="24"/>
        </w:rPr>
        <w:t xml:space="preserve"> Adjustment</w:t>
      </w:r>
      <w:r w:rsidRPr="001B66F0">
        <w:rPr>
          <w:rFonts w:ascii="Courier New" w:hAnsi="Courier New" w:cs="Courier New"/>
          <w:szCs w:val="24"/>
        </w:rPr>
        <w:t xml:space="preserve">.  Benefits associated with EIM participation are embedded in actual NPSE experienced over that same period. </w:t>
      </w:r>
    </w:p>
    <w:p w14:paraId="70B1F921" w14:textId="0F81F253" w:rsidR="00D00041" w:rsidRPr="00984E60" w:rsidRDefault="00D00041" w:rsidP="00D00041">
      <w:pPr>
        <w:pStyle w:val="Testimony"/>
        <w:widowControl/>
        <w:tabs>
          <w:tab w:val="clear" w:pos="2160"/>
          <w:tab w:val="left" w:pos="1980"/>
        </w:tabs>
        <w:spacing w:line="456" w:lineRule="auto"/>
        <w:rPr>
          <w:rFonts w:ascii="Courier New" w:hAnsi="Courier New" w:cs="Courier New"/>
          <w:szCs w:val="24"/>
        </w:rPr>
      </w:pPr>
      <w:r w:rsidRPr="00984E60">
        <w:rPr>
          <w:rFonts w:ascii="Courier New" w:hAnsi="Courier New" w:cs="Courier New"/>
          <w:szCs w:val="24"/>
        </w:rPr>
        <w:t>Q.</w:t>
      </w:r>
      <w:r w:rsidRPr="00984E60">
        <w:rPr>
          <w:rFonts w:ascii="Courier New" w:hAnsi="Courier New" w:cs="Courier New"/>
          <w:szCs w:val="24"/>
        </w:rPr>
        <w:tab/>
        <w:t xml:space="preserve">Please summarize the conditions of Order No. 34100 as they pertain to EIM cost recovery through the </w:t>
      </w:r>
      <w:r w:rsidR="00202300">
        <w:rPr>
          <w:rFonts w:ascii="Courier New" w:hAnsi="Courier New" w:cs="Courier New"/>
          <w:szCs w:val="24"/>
        </w:rPr>
        <w:t>2022</w:t>
      </w:r>
      <w:r w:rsidRPr="00984E60">
        <w:rPr>
          <w:rFonts w:ascii="Courier New" w:hAnsi="Courier New" w:cs="Courier New"/>
          <w:szCs w:val="24"/>
        </w:rPr>
        <w:t xml:space="preserve"> PCA.</w:t>
      </w:r>
    </w:p>
    <w:p w14:paraId="76AF51AF" w14:textId="77777777" w:rsidR="00D00041" w:rsidRPr="00984E60" w:rsidRDefault="00D00041" w:rsidP="00D00041">
      <w:pPr>
        <w:pStyle w:val="Testimony"/>
        <w:widowControl/>
        <w:tabs>
          <w:tab w:val="clear" w:pos="2160"/>
          <w:tab w:val="left" w:pos="1980"/>
        </w:tabs>
        <w:spacing w:line="456" w:lineRule="auto"/>
        <w:rPr>
          <w:rFonts w:ascii="Courier New" w:hAnsi="Courier New" w:cs="Courier New"/>
          <w:szCs w:val="24"/>
        </w:rPr>
      </w:pPr>
      <w:r w:rsidRPr="00984E60">
        <w:rPr>
          <w:rFonts w:ascii="Courier New" w:hAnsi="Courier New" w:cs="Courier New"/>
          <w:szCs w:val="24"/>
        </w:rPr>
        <w:t>A.</w:t>
      </w:r>
      <w:r w:rsidRPr="00984E60">
        <w:rPr>
          <w:rFonts w:ascii="Courier New" w:hAnsi="Courier New" w:cs="Courier New"/>
          <w:szCs w:val="24"/>
        </w:rPr>
        <w:tab/>
        <w:t>Per the terms of the settlement stipulation (“EIM Stipulation”) approved by Order No. 34100, Idaho Power agreed to include an EIM-related monthly revenue requirement in its monthly PCA deferral calculation based on actual EIM participation costs commencing April 1, 2018. The Company also agreed to apply a soft cap to EIM-related revenue requirement included in the PCA deferral equal to annual EIM benefits as reported by the California Independent System Operator (“CAISO”) for the corresponding period.</w:t>
      </w:r>
    </w:p>
    <w:p w14:paraId="3EDD9997" w14:textId="338E6008" w:rsidR="00D00041" w:rsidRPr="00984E60" w:rsidRDefault="00D00041" w:rsidP="00D00041">
      <w:pPr>
        <w:pStyle w:val="Testimony"/>
        <w:widowControl/>
        <w:tabs>
          <w:tab w:val="clear" w:pos="2160"/>
          <w:tab w:val="left" w:pos="1980"/>
        </w:tabs>
        <w:spacing w:line="456" w:lineRule="auto"/>
        <w:rPr>
          <w:rFonts w:ascii="Courier New" w:hAnsi="Courier New" w:cs="Courier New"/>
          <w:szCs w:val="24"/>
        </w:rPr>
      </w:pPr>
      <w:r w:rsidRPr="00984E60">
        <w:rPr>
          <w:rFonts w:ascii="Courier New" w:hAnsi="Courier New" w:cs="Courier New"/>
          <w:szCs w:val="24"/>
        </w:rPr>
        <w:t>Q.</w:t>
      </w:r>
      <w:r w:rsidRPr="00984E60">
        <w:rPr>
          <w:rFonts w:ascii="Courier New" w:hAnsi="Courier New" w:cs="Courier New"/>
          <w:szCs w:val="24"/>
        </w:rPr>
        <w:tab/>
        <w:t xml:space="preserve">Is the EIM-related revenue requirement included in the April </w:t>
      </w:r>
      <w:r w:rsidR="00202300">
        <w:rPr>
          <w:rFonts w:ascii="Courier New" w:hAnsi="Courier New" w:cs="Courier New"/>
          <w:szCs w:val="24"/>
        </w:rPr>
        <w:t>2022</w:t>
      </w:r>
      <w:r w:rsidRPr="00984E60">
        <w:rPr>
          <w:rFonts w:ascii="Courier New" w:hAnsi="Courier New" w:cs="Courier New"/>
          <w:szCs w:val="24"/>
        </w:rPr>
        <w:t xml:space="preserve"> through March </w:t>
      </w:r>
      <w:r w:rsidR="00202300">
        <w:rPr>
          <w:rFonts w:ascii="Courier New" w:hAnsi="Courier New" w:cs="Courier New"/>
          <w:szCs w:val="24"/>
        </w:rPr>
        <w:t>2023</w:t>
      </w:r>
      <w:r w:rsidRPr="00984E60">
        <w:rPr>
          <w:rFonts w:ascii="Courier New" w:hAnsi="Courier New" w:cs="Courier New"/>
          <w:szCs w:val="24"/>
        </w:rPr>
        <w:t xml:space="preserve"> PCA deferral </w:t>
      </w:r>
      <w:r w:rsidRPr="00984E60">
        <w:rPr>
          <w:rFonts w:ascii="Courier New" w:hAnsi="Courier New" w:cs="Courier New"/>
          <w:szCs w:val="24"/>
        </w:rPr>
        <w:lastRenderedPageBreak/>
        <w:t>under the soft cap of annual CAISO-reported benefits for that same period?</w:t>
      </w:r>
    </w:p>
    <w:p w14:paraId="565A08CD" w14:textId="6C616894" w:rsidR="00D00041" w:rsidRPr="00984E60" w:rsidRDefault="00D00041" w:rsidP="00D00041">
      <w:pPr>
        <w:pStyle w:val="Testimony"/>
        <w:widowControl/>
        <w:tabs>
          <w:tab w:val="clear" w:pos="2160"/>
          <w:tab w:val="left" w:pos="1980"/>
        </w:tabs>
        <w:spacing w:line="456" w:lineRule="auto"/>
        <w:rPr>
          <w:rFonts w:ascii="Courier New" w:hAnsi="Courier New" w:cs="Courier New"/>
          <w:szCs w:val="24"/>
        </w:rPr>
      </w:pPr>
      <w:r w:rsidRPr="00984E60">
        <w:rPr>
          <w:rFonts w:ascii="Courier New" w:hAnsi="Courier New" w:cs="Courier New"/>
          <w:szCs w:val="24"/>
        </w:rPr>
        <w:t>A.</w:t>
      </w:r>
      <w:r w:rsidRPr="00984E60">
        <w:rPr>
          <w:rFonts w:ascii="Courier New" w:hAnsi="Courier New" w:cs="Courier New"/>
          <w:szCs w:val="24"/>
        </w:rPr>
        <w:tab/>
        <w:t xml:space="preserve">Yes.  For the April </w:t>
      </w:r>
      <w:r w:rsidR="00202300">
        <w:rPr>
          <w:rFonts w:ascii="Courier New" w:hAnsi="Courier New" w:cs="Courier New"/>
          <w:szCs w:val="24"/>
        </w:rPr>
        <w:t>2022</w:t>
      </w:r>
      <w:r w:rsidRPr="00984E60">
        <w:rPr>
          <w:rFonts w:ascii="Courier New" w:hAnsi="Courier New" w:cs="Courier New"/>
          <w:szCs w:val="24"/>
        </w:rPr>
        <w:t xml:space="preserve"> through March </w:t>
      </w:r>
      <w:r w:rsidR="00202300">
        <w:rPr>
          <w:rFonts w:ascii="Courier New" w:hAnsi="Courier New" w:cs="Courier New"/>
          <w:szCs w:val="24"/>
        </w:rPr>
        <w:t>2023</w:t>
      </w:r>
      <w:r w:rsidRPr="00984E60">
        <w:rPr>
          <w:rFonts w:ascii="Courier New" w:hAnsi="Courier New" w:cs="Courier New"/>
          <w:szCs w:val="24"/>
        </w:rPr>
        <w:t xml:space="preserve"> period, the EIM-related revenue requirement totaled $</w:t>
      </w:r>
      <w:r w:rsidR="001F5FA1" w:rsidRPr="001F5FA1">
        <w:rPr>
          <w:rFonts w:ascii="Courier New" w:hAnsi="Courier New" w:cs="Courier New"/>
          <w:szCs w:val="24"/>
        </w:rPr>
        <w:t>2.</w:t>
      </w:r>
      <w:r w:rsidR="000F4E92">
        <w:rPr>
          <w:rFonts w:ascii="Courier New" w:hAnsi="Courier New" w:cs="Courier New"/>
          <w:szCs w:val="24"/>
        </w:rPr>
        <w:t>5</w:t>
      </w:r>
      <w:r w:rsidRPr="001F5FA1">
        <w:rPr>
          <w:rFonts w:ascii="Courier New" w:hAnsi="Courier New" w:cs="Courier New"/>
          <w:szCs w:val="24"/>
        </w:rPr>
        <w:t xml:space="preserve"> </w:t>
      </w:r>
      <w:r w:rsidRPr="00984E60">
        <w:rPr>
          <w:rFonts w:ascii="Courier New" w:hAnsi="Courier New" w:cs="Courier New"/>
          <w:szCs w:val="24"/>
        </w:rPr>
        <w:t xml:space="preserve">million, while CAISO reported EIM benefits for Idaho Power of </w:t>
      </w:r>
      <w:r w:rsidR="004D67C3">
        <w:rPr>
          <w:rFonts w:ascii="Courier New" w:hAnsi="Courier New" w:cs="Courier New"/>
          <w:szCs w:val="24"/>
        </w:rPr>
        <w:t xml:space="preserve">approximately </w:t>
      </w:r>
      <w:r w:rsidRPr="00984E60">
        <w:rPr>
          <w:rFonts w:ascii="Courier New" w:hAnsi="Courier New" w:cs="Courier New"/>
          <w:szCs w:val="24"/>
        </w:rPr>
        <w:t>$</w:t>
      </w:r>
      <w:r w:rsidR="000F4E92">
        <w:rPr>
          <w:rFonts w:ascii="Courier New" w:hAnsi="Courier New" w:cs="Courier New"/>
          <w:szCs w:val="24"/>
        </w:rPr>
        <w:t>37.7</w:t>
      </w:r>
      <w:r w:rsidRPr="00984E60">
        <w:rPr>
          <w:rFonts w:ascii="Courier New" w:hAnsi="Courier New" w:cs="Courier New"/>
          <w:szCs w:val="24"/>
        </w:rPr>
        <w:t xml:space="preserve"> million from April through December (CAISO’s first quarter </w:t>
      </w:r>
      <w:r w:rsidR="00202300">
        <w:rPr>
          <w:rFonts w:ascii="Courier New" w:hAnsi="Courier New" w:cs="Courier New"/>
          <w:szCs w:val="24"/>
        </w:rPr>
        <w:t>2023</w:t>
      </w:r>
      <w:r w:rsidRPr="00984E60">
        <w:rPr>
          <w:rFonts w:ascii="Courier New" w:hAnsi="Courier New" w:cs="Courier New"/>
          <w:szCs w:val="24"/>
        </w:rPr>
        <w:t xml:space="preserve"> report has not yet been published). Therefore, the Company’s EIM-related revenue requirement is less than the soft cap agreed to in the EIM Stipulation. </w:t>
      </w:r>
    </w:p>
    <w:p w14:paraId="57107D3C" w14:textId="77777777" w:rsidR="00D00041" w:rsidRPr="00984E60" w:rsidRDefault="00D00041" w:rsidP="00D00041">
      <w:pPr>
        <w:pStyle w:val="Testimony"/>
        <w:widowControl/>
        <w:tabs>
          <w:tab w:val="clear" w:pos="2160"/>
          <w:tab w:val="left" w:pos="1980"/>
        </w:tabs>
        <w:spacing w:line="456" w:lineRule="auto"/>
        <w:rPr>
          <w:rFonts w:ascii="Courier New" w:hAnsi="Courier New" w:cs="Courier New"/>
          <w:szCs w:val="24"/>
        </w:rPr>
      </w:pPr>
      <w:r w:rsidRPr="00984E60">
        <w:rPr>
          <w:rFonts w:ascii="Courier New" w:hAnsi="Courier New" w:cs="Courier New"/>
          <w:szCs w:val="24"/>
        </w:rPr>
        <w:t>Q.</w:t>
      </w:r>
      <w:r w:rsidRPr="00984E60">
        <w:rPr>
          <w:rFonts w:ascii="Courier New" w:hAnsi="Courier New" w:cs="Courier New"/>
          <w:szCs w:val="24"/>
        </w:rPr>
        <w:tab/>
        <w:t>Does Idaho Power believe the EIM has provided net benefits to customers since joining in April 2018?</w:t>
      </w:r>
    </w:p>
    <w:p w14:paraId="2EA13BB1" w14:textId="0A5E08DB" w:rsidR="00D00041" w:rsidRPr="00984E60" w:rsidRDefault="00D00041" w:rsidP="00D00041">
      <w:pPr>
        <w:pStyle w:val="Testimony"/>
        <w:widowControl/>
        <w:tabs>
          <w:tab w:val="clear" w:pos="2160"/>
          <w:tab w:val="left" w:pos="1980"/>
        </w:tabs>
        <w:spacing w:line="456" w:lineRule="auto"/>
        <w:rPr>
          <w:rFonts w:ascii="Courier New" w:hAnsi="Courier New" w:cs="Courier New"/>
          <w:szCs w:val="24"/>
        </w:rPr>
      </w:pPr>
      <w:r w:rsidRPr="00984E60">
        <w:rPr>
          <w:rFonts w:ascii="Courier New" w:hAnsi="Courier New" w:cs="Courier New"/>
          <w:szCs w:val="24"/>
        </w:rPr>
        <w:t>A.</w:t>
      </w:r>
      <w:r w:rsidRPr="00984E60">
        <w:rPr>
          <w:rFonts w:ascii="Courier New" w:hAnsi="Courier New" w:cs="Courier New"/>
          <w:szCs w:val="24"/>
        </w:rPr>
        <w:tab/>
        <w:t xml:space="preserve">Yes.  While Idaho Power believes the CAISO benefit calculation overstates estimated benefits to Idaho Power’s system, the Company believes customers have realized significant net benefits since the Company’s entry into the EIM in April 2018.  As discussed in the Company’s May 24, 2019, Report of EIM Benefits and Costs of Participation, filed in Case No. IPC-E-16-19, Idaho Power has developed a more precise methodology for determining EIM benefits that uses inputs specific to the Company.  Based on this methodology, the Company believes benefits achieved between April </w:t>
      </w:r>
      <w:r w:rsidR="00202300">
        <w:rPr>
          <w:rFonts w:ascii="Courier New" w:hAnsi="Courier New" w:cs="Courier New"/>
          <w:szCs w:val="24"/>
        </w:rPr>
        <w:t>2022</w:t>
      </w:r>
      <w:r w:rsidRPr="00984E60">
        <w:rPr>
          <w:rFonts w:ascii="Courier New" w:hAnsi="Courier New" w:cs="Courier New"/>
          <w:szCs w:val="24"/>
        </w:rPr>
        <w:t xml:space="preserve"> and </w:t>
      </w:r>
      <w:r w:rsidR="004D67C3">
        <w:rPr>
          <w:rFonts w:ascii="Courier New" w:hAnsi="Courier New" w:cs="Courier New"/>
          <w:szCs w:val="24"/>
        </w:rPr>
        <w:t>December</w:t>
      </w:r>
      <w:r w:rsidR="00FE6320">
        <w:rPr>
          <w:rFonts w:ascii="Courier New" w:hAnsi="Courier New" w:cs="Courier New"/>
          <w:szCs w:val="24"/>
        </w:rPr>
        <w:t xml:space="preserve"> </w:t>
      </w:r>
      <w:r w:rsidR="00202300">
        <w:rPr>
          <w:rFonts w:ascii="Courier New" w:hAnsi="Courier New" w:cs="Courier New"/>
          <w:szCs w:val="24"/>
        </w:rPr>
        <w:t>2022</w:t>
      </w:r>
      <w:r w:rsidRPr="00984E60">
        <w:rPr>
          <w:rFonts w:ascii="Courier New" w:hAnsi="Courier New" w:cs="Courier New"/>
          <w:szCs w:val="24"/>
        </w:rPr>
        <w:t xml:space="preserve"> </w:t>
      </w:r>
      <w:r w:rsidR="00FE6320">
        <w:rPr>
          <w:rFonts w:ascii="Courier New" w:hAnsi="Courier New" w:cs="Courier New"/>
          <w:szCs w:val="24"/>
        </w:rPr>
        <w:t>are approximately</w:t>
      </w:r>
      <w:r w:rsidRPr="00984E60">
        <w:rPr>
          <w:rFonts w:ascii="Courier New" w:hAnsi="Courier New" w:cs="Courier New"/>
          <w:szCs w:val="24"/>
        </w:rPr>
        <w:t xml:space="preserve"> </w:t>
      </w:r>
      <w:r w:rsidRPr="002049B5">
        <w:rPr>
          <w:rFonts w:ascii="Courier New" w:hAnsi="Courier New" w:cs="Courier New"/>
          <w:szCs w:val="24"/>
        </w:rPr>
        <w:t>$</w:t>
      </w:r>
      <w:r w:rsidR="00B83107">
        <w:rPr>
          <w:rFonts w:ascii="Courier New" w:hAnsi="Courier New" w:cs="Courier New"/>
          <w:szCs w:val="24"/>
        </w:rPr>
        <w:t>9</w:t>
      </w:r>
      <w:r w:rsidRPr="002049B5">
        <w:rPr>
          <w:rFonts w:ascii="Courier New" w:hAnsi="Courier New" w:cs="Courier New"/>
          <w:szCs w:val="24"/>
        </w:rPr>
        <w:t xml:space="preserve"> </w:t>
      </w:r>
      <w:r w:rsidRPr="00984E60">
        <w:rPr>
          <w:rFonts w:ascii="Courier New" w:hAnsi="Courier New" w:cs="Courier New"/>
          <w:szCs w:val="24"/>
        </w:rPr>
        <w:t xml:space="preserve">million (benefits for </w:t>
      </w:r>
      <w:r w:rsidR="00FE6320">
        <w:rPr>
          <w:rFonts w:ascii="Courier New" w:hAnsi="Courier New" w:cs="Courier New"/>
          <w:szCs w:val="24"/>
        </w:rPr>
        <w:t>the first quarter of</w:t>
      </w:r>
      <w:r w:rsidRPr="00984E60">
        <w:rPr>
          <w:rFonts w:ascii="Courier New" w:hAnsi="Courier New" w:cs="Courier New"/>
          <w:szCs w:val="24"/>
        </w:rPr>
        <w:t xml:space="preserve"> </w:t>
      </w:r>
      <w:r w:rsidR="00202300">
        <w:rPr>
          <w:rFonts w:ascii="Courier New" w:hAnsi="Courier New" w:cs="Courier New"/>
          <w:szCs w:val="24"/>
        </w:rPr>
        <w:t>2023</w:t>
      </w:r>
      <w:r w:rsidRPr="00984E60">
        <w:rPr>
          <w:rFonts w:ascii="Courier New" w:hAnsi="Courier New" w:cs="Courier New"/>
          <w:szCs w:val="24"/>
        </w:rPr>
        <w:t xml:space="preserve"> are not yet available).  This level of EIM benefits </w:t>
      </w:r>
      <w:r w:rsidRPr="00984E60">
        <w:rPr>
          <w:rFonts w:ascii="Courier New" w:hAnsi="Courier New" w:cs="Courier New"/>
          <w:szCs w:val="24"/>
        </w:rPr>
        <w:lastRenderedPageBreak/>
        <w:t xml:space="preserve">compared to the Idaho-jurisdictional EIM costs of </w:t>
      </w:r>
      <w:r w:rsidRPr="00C25DF9">
        <w:rPr>
          <w:rFonts w:ascii="Courier New" w:hAnsi="Courier New" w:cs="Courier New"/>
          <w:szCs w:val="24"/>
        </w:rPr>
        <w:t>$</w:t>
      </w:r>
      <w:r w:rsidR="00C25DF9" w:rsidRPr="00C25DF9">
        <w:rPr>
          <w:rFonts w:ascii="Courier New" w:hAnsi="Courier New" w:cs="Courier New"/>
          <w:szCs w:val="24"/>
        </w:rPr>
        <w:t>2.</w:t>
      </w:r>
      <w:r w:rsidR="00B83107">
        <w:rPr>
          <w:rFonts w:ascii="Courier New" w:hAnsi="Courier New" w:cs="Courier New"/>
          <w:szCs w:val="24"/>
        </w:rPr>
        <w:t>5</w:t>
      </w:r>
      <w:r w:rsidR="00C25DF9" w:rsidRPr="00C25DF9">
        <w:rPr>
          <w:rFonts w:ascii="Courier New" w:hAnsi="Courier New" w:cs="Courier New"/>
          <w:szCs w:val="24"/>
        </w:rPr>
        <w:t xml:space="preserve"> </w:t>
      </w:r>
      <w:r w:rsidRPr="00984E60">
        <w:rPr>
          <w:rFonts w:ascii="Courier New" w:hAnsi="Courier New" w:cs="Courier New"/>
          <w:szCs w:val="24"/>
        </w:rPr>
        <w:t xml:space="preserve">million, demonstrates a net benefit to the Company and, ultimately, its customers.  </w:t>
      </w:r>
    </w:p>
    <w:p w14:paraId="7A7BC76B" w14:textId="77777777" w:rsidR="001D3F2A" w:rsidRPr="001D3F2A" w:rsidRDefault="001D3F2A" w:rsidP="001D3F2A">
      <w:pPr>
        <w:pStyle w:val="Testimony"/>
        <w:widowControl/>
        <w:numPr>
          <w:ilvl w:val="0"/>
          <w:numId w:val="15"/>
        </w:numPr>
        <w:tabs>
          <w:tab w:val="clear" w:pos="2160"/>
          <w:tab w:val="left" w:pos="720"/>
          <w:tab w:val="left" w:pos="1980"/>
        </w:tabs>
        <w:spacing w:line="456" w:lineRule="auto"/>
        <w:rPr>
          <w:rFonts w:ascii="Courier New" w:hAnsi="Courier New" w:cs="Courier New"/>
          <w:b/>
          <w:szCs w:val="24"/>
          <w:u w:val="single"/>
        </w:rPr>
      </w:pPr>
      <w:r w:rsidRPr="001D3F2A">
        <w:rPr>
          <w:rFonts w:ascii="Courier New" w:hAnsi="Courier New" w:cs="Courier New"/>
          <w:b/>
          <w:szCs w:val="24"/>
          <w:u w:val="single"/>
        </w:rPr>
        <w:t>PCA Rate Determination.</w:t>
      </w:r>
    </w:p>
    <w:p w14:paraId="799E5711" w14:textId="0F131AC7" w:rsidR="001D3F2A" w:rsidRPr="00984E60" w:rsidRDefault="001D3F2A" w:rsidP="001D3F2A">
      <w:pPr>
        <w:pStyle w:val="Testimony"/>
        <w:widowControl/>
        <w:tabs>
          <w:tab w:val="clear" w:pos="2160"/>
          <w:tab w:val="left" w:pos="1980"/>
        </w:tabs>
        <w:spacing w:line="456" w:lineRule="auto"/>
        <w:rPr>
          <w:rFonts w:ascii="Courier New" w:hAnsi="Courier New" w:cs="Courier New"/>
          <w:szCs w:val="24"/>
        </w:rPr>
      </w:pPr>
      <w:r w:rsidRPr="00984E60">
        <w:rPr>
          <w:rFonts w:ascii="Courier New" w:hAnsi="Courier New" w:cs="Courier New"/>
          <w:szCs w:val="24"/>
        </w:rPr>
        <w:t>Q.</w:t>
      </w:r>
      <w:r w:rsidRPr="00984E60">
        <w:rPr>
          <w:rFonts w:ascii="Courier New" w:hAnsi="Courier New" w:cs="Courier New"/>
          <w:szCs w:val="24"/>
        </w:rPr>
        <w:tab/>
        <w:t xml:space="preserve">How is the rate for the forecast portion of the PCA for April </w:t>
      </w:r>
      <w:r w:rsidR="00202300">
        <w:rPr>
          <w:rFonts w:ascii="Courier New" w:hAnsi="Courier New" w:cs="Courier New"/>
          <w:szCs w:val="24"/>
        </w:rPr>
        <w:t>2023</w:t>
      </w:r>
      <w:r w:rsidRPr="00984E60">
        <w:rPr>
          <w:rFonts w:ascii="Courier New" w:hAnsi="Courier New" w:cs="Courier New"/>
          <w:szCs w:val="24"/>
        </w:rPr>
        <w:t xml:space="preserve"> through March </w:t>
      </w:r>
      <w:r w:rsidR="00202300">
        <w:rPr>
          <w:rFonts w:ascii="Courier New" w:hAnsi="Courier New" w:cs="Courier New"/>
          <w:szCs w:val="24"/>
        </w:rPr>
        <w:t>2024</w:t>
      </w:r>
      <w:r w:rsidRPr="00984E60">
        <w:rPr>
          <w:rFonts w:ascii="Courier New" w:hAnsi="Courier New" w:cs="Courier New"/>
          <w:szCs w:val="24"/>
        </w:rPr>
        <w:t xml:space="preserve"> determined?</w:t>
      </w:r>
    </w:p>
    <w:p w14:paraId="4A7F297A" w14:textId="22EB6BDC" w:rsidR="001D3F2A" w:rsidRPr="00984E60" w:rsidRDefault="001D3F2A" w:rsidP="001D3F2A">
      <w:pPr>
        <w:pStyle w:val="Testimony"/>
        <w:widowControl/>
        <w:tabs>
          <w:tab w:val="clear" w:pos="2160"/>
          <w:tab w:val="left" w:pos="1980"/>
        </w:tabs>
        <w:spacing w:line="456" w:lineRule="auto"/>
        <w:rPr>
          <w:rFonts w:ascii="Courier New" w:hAnsi="Courier New" w:cs="Courier New"/>
          <w:szCs w:val="24"/>
        </w:rPr>
      </w:pPr>
      <w:r w:rsidRPr="00984E60">
        <w:rPr>
          <w:rFonts w:ascii="Courier New" w:hAnsi="Courier New" w:cs="Courier New"/>
          <w:szCs w:val="24"/>
        </w:rPr>
        <w:t>A.</w:t>
      </w:r>
      <w:r w:rsidRPr="00984E60">
        <w:rPr>
          <w:rFonts w:ascii="Courier New" w:hAnsi="Courier New" w:cs="Courier New"/>
          <w:szCs w:val="24"/>
        </w:rPr>
        <w:tab/>
        <w:t xml:space="preserve">The rate for the forecast portion of the PCA is equal to the sum of (1) 95 percent of the difference between the non-PURPA expenses quantified in the Operating Plan and those quantified in the Company’s last approved update of NPSE, divided by the Company’s forecast of system firm sales for June 1, </w:t>
      </w:r>
      <w:r w:rsidR="00202300">
        <w:rPr>
          <w:rFonts w:ascii="Courier New" w:hAnsi="Courier New" w:cs="Courier New"/>
          <w:szCs w:val="24"/>
        </w:rPr>
        <w:t>2023</w:t>
      </w:r>
      <w:r w:rsidRPr="00984E60">
        <w:rPr>
          <w:rFonts w:ascii="Courier New" w:hAnsi="Courier New" w:cs="Courier New"/>
          <w:szCs w:val="24"/>
        </w:rPr>
        <w:t xml:space="preserve">, through May 31, </w:t>
      </w:r>
      <w:r w:rsidR="00202300">
        <w:rPr>
          <w:rFonts w:ascii="Courier New" w:hAnsi="Courier New" w:cs="Courier New"/>
          <w:szCs w:val="24"/>
        </w:rPr>
        <w:t>2024</w:t>
      </w:r>
      <w:r w:rsidR="00B83107">
        <w:rPr>
          <w:rStyle w:val="FootnoteReference"/>
          <w:rFonts w:ascii="Courier New" w:hAnsi="Courier New"/>
          <w:szCs w:val="24"/>
        </w:rPr>
        <w:footnoteReference w:id="3"/>
      </w:r>
      <w:r w:rsidRPr="00984E60">
        <w:rPr>
          <w:rFonts w:ascii="Courier New" w:hAnsi="Courier New" w:cs="Courier New"/>
          <w:szCs w:val="24"/>
        </w:rPr>
        <w:t xml:space="preserve"> (“System-level Sales Forecast”); and (2) 100 percent of the difference between PURPA-related expenses quantified in the Operating Plan and those quantified in the Company’s last approved update of NPSE, divided by the Company’s System-level Sales Forecast; and (3) 100 percent of the difference between the Idaho jurisdictional demand response incentive payments quantified in the Operating Plan and those quantified in the Company’s last approved update of NPSE, divided by the forecast of Idaho jurisdictional firm sales</w:t>
      </w:r>
      <w:r w:rsidR="00B83107">
        <w:rPr>
          <w:rStyle w:val="FootnoteReference"/>
          <w:rFonts w:ascii="Courier New" w:hAnsi="Courier New"/>
          <w:szCs w:val="24"/>
        </w:rPr>
        <w:footnoteReference w:id="4"/>
      </w:r>
      <w:r w:rsidRPr="00984E60">
        <w:rPr>
          <w:rFonts w:ascii="Courier New" w:hAnsi="Courier New" w:cs="Courier New"/>
          <w:szCs w:val="24"/>
        </w:rPr>
        <w:t xml:space="preserve"> for June 1, </w:t>
      </w:r>
      <w:r w:rsidR="00202300">
        <w:rPr>
          <w:rFonts w:ascii="Courier New" w:hAnsi="Courier New" w:cs="Courier New"/>
          <w:szCs w:val="24"/>
        </w:rPr>
        <w:t>2023</w:t>
      </w:r>
      <w:r w:rsidRPr="00984E60">
        <w:rPr>
          <w:rFonts w:ascii="Courier New" w:hAnsi="Courier New" w:cs="Courier New"/>
          <w:szCs w:val="24"/>
        </w:rPr>
        <w:t xml:space="preserve">, through May 31, </w:t>
      </w:r>
      <w:r w:rsidR="00202300">
        <w:rPr>
          <w:rFonts w:ascii="Courier New" w:hAnsi="Courier New" w:cs="Courier New"/>
          <w:szCs w:val="24"/>
        </w:rPr>
        <w:t>2024</w:t>
      </w:r>
      <w:r w:rsidRPr="00984E60">
        <w:rPr>
          <w:rFonts w:ascii="Courier New" w:hAnsi="Courier New" w:cs="Courier New"/>
          <w:szCs w:val="24"/>
        </w:rPr>
        <w:t>.</w:t>
      </w:r>
    </w:p>
    <w:p w14:paraId="0B67025E" w14:textId="1B4B047F" w:rsidR="001D3F2A" w:rsidRPr="00984E60" w:rsidRDefault="001D3F2A" w:rsidP="001D3F2A">
      <w:pPr>
        <w:pStyle w:val="Testimony"/>
        <w:widowControl/>
        <w:tabs>
          <w:tab w:val="clear" w:pos="2160"/>
          <w:tab w:val="left" w:pos="1980"/>
        </w:tabs>
        <w:spacing w:line="456" w:lineRule="auto"/>
        <w:rPr>
          <w:rFonts w:ascii="Courier New" w:hAnsi="Courier New" w:cs="Courier New"/>
          <w:szCs w:val="24"/>
        </w:rPr>
      </w:pPr>
      <w:r w:rsidRPr="00984E60">
        <w:rPr>
          <w:rFonts w:ascii="Courier New" w:hAnsi="Courier New" w:cs="Courier New"/>
          <w:szCs w:val="24"/>
        </w:rPr>
        <w:lastRenderedPageBreak/>
        <w:t>Q.</w:t>
      </w:r>
      <w:r w:rsidRPr="00984E60">
        <w:rPr>
          <w:rFonts w:ascii="Courier New" w:hAnsi="Courier New" w:cs="Courier New"/>
          <w:szCs w:val="24"/>
        </w:rPr>
        <w:tab/>
        <w:t xml:space="preserve">What is the rate for the forecast portion of the PCA for April </w:t>
      </w:r>
      <w:r w:rsidR="00202300">
        <w:rPr>
          <w:rFonts w:ascii="Courier New" w:hAnsi="Courier New" w:cs="Courier New"/>
          <w:szCs w:val="24"/>
        </w:rPr>
        <w:t>2023</w:t>
      </w:r>
      <w:r w:rsidRPr="00984E60">
        <w:rPr>
          <w:rFonts w:ascii="Courier New" w:hAnsi="Courier New" w:cs="Courier New"/>
          <w:szCs w:val="24"/>
        </w:rPr>
        <w:t xml:space="preserve"> through March </w:t>
      </w:r>
      <w:r w:rsidR="00202300">
        <w:rPr>
          <w:rFonts w:ascii="Courier New" w:hAnsi="Courier New" w:cs="Courier New"/>
          <w:szCs w:val="24"/>
        </w:rPr>
        <w:t>2024</w:t>
      </w:r>
      <w:r w:rsidRPr="00984E60">
        <w:rPr>
          <w:rFonts w:ascii="Courier New" w:hAnsi="Courier New" w:cs="Courier New"/>
          <w:szCs w:val="24"/>
        </w:rPr>
        <w:t>?</w:t>
      </w:r>
    </w:p>
    <w:p w14:paraId="09D289D9" w14:textId="435F1E6B" w:rsidR="001D3F2A" w:rsidRPr="00984E60" w:rsidRDefault="001D3F2A" w:rsidP="001D3F2A">
      <w:pPr>
        <w:pStyle w:val="Testimony"/>
        <w:widowControl/>
        <w:tabs>
          <w:tab w:val="clear" w:pos="2160"/>
          <w:tab w:val="left" w:pos="1980"/>
        </w:tabs>
        <w:spacing w:line="456" w:lineRule="auto"/>
        <w:rPr>
          <w:rFonts w:ascii="Courier New" w:hAnsi="Courier New" w:cs="Courier New"/>
          <w:szCs w:val="24"/>
        </w:rPr>
      </w:pPr>
      <w:r w:rsidRPr="00984E60">
        <w:rPr>
          <w:rFonts w:ascii="Courier New" w:hAnsi="Courier New" w:cs="Courier New"/>
          <w:szCs w:val="24"/>
        </w:rPr>
        <w:t>A.</w:t>
      </w:r>
      <w:r w:rsidRPr="00984E60">
        <w:rPr>
          <w:rFonts w:ascii="Courier New" w:hAnsi="Courier New" w:cs="Courier New"/>
          <w:szCs w:val="24"/>
        </w:rPr>
        <w:tab/>
        <w:t>The rate for non-PURPA expenses is 0.</w:t>
      </w:r>
      <w:r w:rsidR="00B83107">
        <w:rPr>
          <w:rFonts w:ascii="Courier New" w:hAnsi="Courier New" w:cs="Courier New"/>
          <w:szCs w:val="24"/>
        </w:rPr>
        <w:t>91</w:t>
      </w:r>
      <w:r w:rsidR="00F149D8">
        <w:rPr>
          <w:rFonts w:ascii="Courier New" w:hAnsi="Courier New" w:cs="Courier New"/>
          <w:szCs w:val="24"/>
        </w:rPr>
        <w:t>83</w:t>
      </w:r>
      <w:r w:rsidRPr="00984E60">
        <w:rPr>
          <w:rFonts w:ascii="Courier New" w:hAnsi="Courier New" w:cs="Courier New"/>
          <w:szCs w:val="24"/>
        </w:rPr>
        <w:t xml:space="preserve"> cents per</w:t>
      </w:r>
      <w:r w:rsidR="00F7226E" w:rsidRPr="00F7226E">
        <w:rPr>
          <w:rFonts w:ascii="Courier New" w:hAnsi="Courier New" w:cs="Courier New"/>
          <w:szCs w:val="24"/>
        </w:rPr>
        <w:t xml:space="preserve"> </w:t>
      </w:r>
      <w:r w:rsidR="00F7226E" w:rsidRPr="00984E60">
        <w:rPr>
          <w:rFonts w:ascii="Courier New" w:hAnsi="Courier New" w:cs="Courier New"/>
          <w:szCs w:val="24"/>
        </w:rPr>
        <w:t>kilowatt-hour (“kWh”), which is calculated by multiplying</w:t>
      </w:r>
      <w:r w:rsidRPr="00984E60">
        <w:rPr>
          <w:rFonts w:ascii="Courier New" w:hAnsi="Courier New" w:cs="Courier New"/>
          <w:szCs w:val="24"/>
        </w:rPr>
        <w:t xml:space="preserve"> </w:t>
      </w:r>
      <w:r w:rsidR="0069276A">
        <w:rPr>
          <w:rFonts w:ascii="Courier New" w:hAnsi="Courier New" w:cs="Courier New"/>
          <w:szCs w:val="24"/>
        </w:rPr>
        <w:t>$</w:t>
      </w:r>
      <w:r w:rsidR="00B83107">
        <w:rPr>
          <w:rFonts w:ascii="Courier New" w:hAnsi="Courier New" w:cs="Courier New"/>
          <w:szCs w:val="24"/>
        </w:rPr>
        <w:t>151,</w:t>
      </w:r>
      <w:r w:rsidR="00BC2D5E">
        <w:rPr>
          <w:rFonts w:ascii="Courier New" w:hAnsi="Courier New" w:cs="Courier New"/>
          <w:szCs w:val="24"/>
        </w:rPr>
        <w:t>400</w:t>
      </w:r>
      <w:r w:rsidR="00B83107">
        <w:rPr>
          <w:rFonts w:ascii="Courier New" w:hAnsi="Courier New" w:cs="Courier New"/>
          <w:szCs w:val="24"/>
        </w:rPr>
        <w:t>,7</w:t>
      </w:r>
      <w:r w:rsidR="00BC2D5E">
        <w:rPr>
          <w:rFonts w:ascii="Courier New" w:hAnsi="Courier New" w:cs="Courier New"/>
          <w:szCs w:val="24"/>
        </w:rPr>
        <w:t>29</w:t>
      </w:r>
      <w:r w:rsidRPr="00984E60">
        <w:rPr>
          <w:rFonts w:ascii="Courier New" w:hAnsi="Courier New" w:cs="Courier New"/>
          <w:szCs w:val="24"/>
        </w:rPr>
        <w:t xml:space="preserve"> from Table </w:t>
      </w:r>
      <w:r>
        <w:rPr>
          <w:rFonts w:ascii="Courier New" w:hAnsi="Courier New" w:cs="Courier New"/>
          <w:szCs w:val="24"/>
        </w:rPr>
        <w:t>2</w:t>
      </w:r>
      <w:r w:rsidRPr="00984E60">
        <w:rPr>
          <w:rFonts w:ascii="Courier New" w:hAnsi="Courier New" w:cs="Courier New"/>
          <w:szCs w:val="24"/>
        </w:rPr>
        <w:t xml:space="preserve"> by 95 percent and then dividing it by the System-level Sales Forecast</w:t>
      </w:r>
      <w:r w:rsidR="00560090">
        <w:rPr>
          <w:rFonts w:ascii="Courier New" w:hAnsi="Courier New" w:cs="Courier New"/>
          <w:szCs w:val="24"/>
        </w:rPr>
        <w:t>,</w:t>
      </w:r>
      <w:r w:rsidR="00B83107">
        <w:rPr>
          <w:rFonts w:ascii="Courier New" w:hAnsi="Courier New" w:cs="Courier New"/>
          <w:szCs w:val="24"/>
        </w:rPr>
        <w:t xml:space="preserve"> net of Black Mesa Solar generation</w:t>
      </w:r>
      <w:r w:rsidR="00560090">
        <w:rPr>
          <w:rFonts w:ascii="Courier New" w:hAnsi="Courier New" w:cs="Courier New"/>
          <w:szCs w:val="24"/>
        </w:rPr>
        <w:t>,</w:t>
      </w:r>
      <w:r w:rsidR="00A54DB3">
        <w:rPr>
          <w:rFonts w:ascii="Courier New" w:hAnsi="Courier New" w:cs="Courier New"/>
          <w:szCs w:val="24"/>
        </w:rPr>
        <w:t xml:space="preserve"> </w:t>
      </w:r>
      <w:r w:rsidRPr="00984E60">
        <w:rPr>
          <w:rFonts w:ascii="Courier New" w:hAnsi="Courier New" w:cs="Courier New"/>
          <w:szCs w:val="24"/>
        </w:rPr>
        <w:t xml:space="preserve">of </w:t>
      </w:r>
      <w:r w:rsidR="00F149D8" w:rsidRPr="00984E60">
        <w:rPr>
          <w:rFonts w:ascii="Courier New" w:hAnsi="Courier New" w:cs="Courier New"/>
          <w:szCs w:val="24"/>
        </w:rPr>
        <w:t>15,</w:t>
      </w:r>
      <w:r w:rsidR="00F149D8">
        <w:rPr>
          <w:rFonts w:ascii="Courier New" w:hAnsi="Courier New" w:cs="Courier New"/>
          <w:szCs w:val="24"/>
        </w:rPr>
        <w:t xml:space="preserve">662,267 </w:t>
      </w:r>
      <w:r w:rsidRPr="00984E60">
        <w:rPr>
          <w:rFonts w:ascii="Courier New" w:hAnsi="Courier New" w:cs="Courier New"/>
          <w:szCs w:val="24"/>
        </w:rPr>
        <w:t>MWh (($</w:t>
      </w:r>
      <w:r w:rsidR="00B83107">
        <w:rPr>
          <w:rFonts w:ascii="Courier New" w:hAnsi="Courier New" w:cs="Courier New"/>
          <w:szCs w:val="24"/>
        </w:rPr>
        <w:t>151,</w:t>
      </w:r>
      <w:r w:rsidR="00BC2D5E">
        <w:rPr>
          <w:rFonts w:ascii="Courier New" w:hAnsi="Courier New" w:cs="Courier New"/>
          <w:szCs w:val="24"/>
        </w:rPr>
        <w:t>400</w:t>
      </w:r>
      <w:r w:rsidR="00B83107">
        <w:rPr>
          <w:rFonts w:ascii="Courier New" w:hAnsi="Courier New" w:cs="Courier New"/>
          <w:szCs w:val="24"/>
        </w:rPr>
        <w:t>,7</w:t>
      </w:r>
      <w:r w:rsidR="00BC2D5E">
        <w:rPr>
          <w:rFonts w:ascii="Courier New" w:hAnsi="Courier New" w:cs="Courier New"/>
          <w:szCs w:val="24"/>
        </w:rPr>
        <w:t>29</w:t>
      </w:r>
      <w:r w:rsidR="00B83107" w:rsidRPr="00984E60">
        <w:rPr>
          <w:rFonts w:ascii="Courier New" w:hAnsi="Courier New" w:cs="Courier New"/>
          <w:szCs w:val="24"/>
        </w:rPr>
        <w:t xml:space="preserve"> </w:t>
      </w:r>
      <w:r w:rsidRPr="00984E60">
        <w:rPr>
          <w:rFonts w:ascii="Courier New" w:hAnsi="Courier New" w:cs="Courier New"/>
          <w:szCs w:val="24"/>
        </w:rPr>
        <w:t xml:space="preserve">* 0.95) / </w:t>
      </w:r>
      <w:r w:rsidR="00B83107" w:rsidRPr="00984E60">
        <w:rPr>
          <w:rFonts w:ascii="Courier New" w:hAnsi="Courier New" w:cs="Courier New"/>
          <w:szCs w:val="24"/>
        </w:rPr>
        <w:t>15,</w:t>
      </w:r>
      <w:r w:rsidR="00B83107">
        <w:rPr>
          <w:rFonts w:ascii="Courier New" w:hAnsi="Courier New" w:cs="Courier New"/>
          <w:szCs w:val="24"/>
        </w:rPr>
        <w:t>6</w:t>
      </w:r>
      <w:r w:rsidR="00F149D8">
        <w:rPr>
          <w:rFonts w:ascii="Courier New" w:hAnsi="Courier New" w:cs="Courier New"/>
          <w:szCs w:val="24"/>
        </w:rPr>
        <w:t>62</w:t>
      </w:r>
      <w:r w:rsidR="00B83107">
        <w:rPr>
          <w:rFonts w:ascii="Courier New" w:hAnsi="Courier New" w:cs="Courier New"/>
          <w:szCs w:val="24"/>
        </w:rPr>
        <w:t>,</w:t>
      </w:r>
      <w:r w:rsidR="00F149D8">
        <w:rPr>
          <w:rFonts w:ascii="Courier New" w:hAnsi="Courier New" w:cs="Courier New"/>
          <w:szCs w:val="24"/>
        </w:rPr>
        <w:t>267</w:t>
      </w:r>
      <w:r w:rsidRPr="00984E60">
        <w:rPr>
          <w:rFonts w:ascii="Courier New" w:hAnsi="Courier New" w:cs="Courier New"/>
          <w:szCs w:val="24"/>
        </w:rPr>
        <w:t>) = $</w:t>
      </w:r>
      <w:r w:rsidR="00B83107">
        <w:rPr>
          <w:rFonts w:ascii="Courier New" w:hAnsi="Courier New" w:cs="Courier New"/>
          <w:szCs w:val="24"/>
        </w:rPr>
        <w:t>9</w:t>
      </w:r>
      <w:r w:rsidR="00E3199E">
        <w:rPr>
          <w:rFonts w:ascii="Courier New" w:hAnsi="Courier New" w:cs="Courier New"/>
          <w:szCs w:val="24"/>
        </w:rPr>
        <w:t>.1</w:t>
      </w:r>
      <w:r w:rsidR="00F149D8">
        <w:rPr>
          <w:rFonts w:ascii="Courier New" w:hAnsi="Courier New" w:cs="Courier New"/>
          <w:szCs w:val="24"/>
        </w:rPr>
        <w:t>83</w:t>
      </w:r>
      <w:r w:rsidR="00E3199E" w:rsidRPr="00984E60">
        <w:rPr>
          <w:rFonts w:ascii="Courier New" w:hAnsi="Courier New" w:cs="Courier New"/>
          <w:szCs w:val="24"/>
        </w:rPr>
        <w:t xml:space="preserve"> </w:t>
      </w:r>
      <w:r w:rsidRPr="00984E60">
        <w:rPr>
          <w:rFonts w:ascii="Courier New" w:hAnsi="Courier New" w:cs="Courier New"/>
          <w:szCs w:val="24"/>
        </w:rPr>
        <w:t xml:space="preserve">/MWh = </w:t>
      </w:r>
      <w:r w:rsidR="00E3199E" w:rsidRPr="00984E60">
        <w:rPr>
          <w:rFonts w:ascii="Courier New" w:hAnsi="Courier New" w:cs="Courier New"/>
          <w:szCs w:val="24"/>
        </w:rPr>
        <w:t>0.</w:t>
      </w:r>
      <w:r w:rsidR="00B83107">
        <w:rPr>
          <w:rFonts w:ascii="Courier New" w:hAnsi="Courier New" w:cs="Courier New"/>
          <w:szCs w:val="24"/>
        </w:rPr>
        <w:t>9</w:t>
      </w:r>
      <w:r w:rsidR="00F149D8">
        <w:rPr>
          <w:rFonts w:ascii="Courier New" w:hAnsi="Courier New" w:cs="Courier New"/>
          <w:szCs w:val="24"/>
        </w:rPr>
        <w:t>183</w:t>
      </w:r>
      <w:r w:rsidR="00E3199E" w:rsidRPr="00984E60">
        <w:rPr>
          <w:rFonts w:ascii="Courier New" w:hAnsi="Courier New" w:cs="Courier New"/>
          <w:szCs w:val="24"/>
        </w:rPr>
        <w:t xml:space="preserve"> </w:t>
      </w:r>
      <w:r w:rsidRPr="00984E60">
        <w:rPr>
          <w:rFonts w:ascii="Courier New" w:hAnsi="Courier New" w:cs="Courier New"/>
          <w:szCs w:val="24"/>
        </w:rPr>
        <w:t>cents/kWh).  The rate for PURPA expenses is 0.</w:t>
      </w:r>
      <w:r w:rsidR="00E3199E">
        <w:rPr>
          <w:rFonts w:ascii="Courier New" w:hAnsi="Courier New" w:cs="Courier New"/>
          <w:szCs w:val="24"/>
        </w:rPr>
        <w:t>5</w:t>
      </w:r>
      <w:r w:rsidR="00F149D8">
        <w:rPr>
          <w:rFonts w:ascii="Courier New" w:hAnsi="Courier New" w:cs="Courier New"/>
          <w:szCs w:val="24"/>
        </w:rPr>
        <w:t>407</w:t>
      </w:r>
      <w:r w:rsidRPr="00984E60">
        <w:rPr>
          <w:rFonts w:ascii="Courier New" w:hAnsi="Courier New" w:cs="Courier New"/>
          <w:szCs w:val="24"/>
        </w:rPr>
        <w:t xml:space="preserve"> cents per kWh, which is calculated by dividing $</w:t>
      </w:r>
      <w:r w:rsidR="00B83107">
        <w:rPr>
          <w:rFonts w:ascii="Courier New" w:hAnsi="Courier New" w:cs="Courier New"/>
          <w:szCs w:val="24"/>
        </w:rPr>
        <w:t>84,681,543</w:t>
      </w:r>
      <w:r w:rsidRPr="00984E60">
        <w:rPr>
          <w:rFonts w:ascii="Courier New" w:hAnsi="Courier New" w:cs="Courier New"/>
          <w:szCs w:val="24"/>
        </w:rPr>
        <w:t xml:space="preserve"> from Table </w:t>
      </w:r>
      <w:r>
        <w:rPr>
          <w:rFonts w:ascii="Courier New" w:hAnsi="Courier New" w:cs="Courier New"/>
          <w:szCs w:val="24"/>
        </w:rPr>
        <w:t>2</w:t>
      </w:r>
      <w:r w:rsidRPr="00984E60">
        <w:rPr>
          <w:rFonts w:ascii="Courier New" w:hAnsi="Courier New" w:cs="Courier New"/>
          <w:szCs w:val="24"/>
        </w:rPr>
        <w:t xml:space="preserve"> by the </w:t>
      </w:r>
      <w:r w:rsidR="00F149D8" w:rsidRPr="00984E60">
        <w:rPr>
          <w:rFonts w:ascii="Courier New" w:hAnsi="Courier New" w:cs="Courier New"/>
          <w:szCs w:val="24"/>
        </w:rPr>
        <w:t>15,</w:t>
      </w:r>
      <w:r w:rsidR="00F149D8">
        <w:rPr>
          <w:rFonts w:ascii="Courier New" w:hAnsi="Courier New" w:cs="Courier New"/>
          <w:szCs w:val="24"/>
        </w:rPr>
        <w:t xml:space="preserve">662,267 </w:t>
      </w:r>
      <w:r w:rsidRPr="00984E60">
        <w:rPr>
          <w:rFonts w:ascii="Courier New" w:hAnsi="Courier New" w:cs="Courier New"/>
          <w:szCs w:val="24"/>
        </w:rPr>
        <w:t>MWh ($</w:t>
      </w:r>
      <w:r w:rsidR="00B83107">
        <w:rPr>
          <w:rFonts w:ascii="Courier New" w:hAnsi="Courier New" w:cs="Courier New"/>
          <w:szCs w:val="24"/>
        </w:rPr>
        <w:t>84,681,543</w:t>
      </w:r>
      <w:r w:rsidR="00B83107" w:rsidRPr="00984E60">
        <w:rPr>
          <w:rFonts w:ascii="Courier New" w:hAnsi="Courier New" w:cs="Courier New"/>
          <w:szCs w:val="24"/>
        </w:rPr>
        <w:t xml:space="preserve"> </w:t>
      </w:r>
      <w:r w:rsidRPr="00984E60">
        <w:rPr>
          <w:rFonts w:ascii="Courier New" w:hAnsi="Courier New" w:cs="Courier New"/>
          <w:szCs w:val="24"/>
        </w:rPr>
        <w:t xml:space="preserve">/ </w:t>
      </w:r>
      <w:r w:rsidR="00F149D8" w:rsidRPr="00984E60">
        <w:rPr>
          <w:rFonts w:ascii="Courier New" w:hAnsi="Courier New" w:cs="Courier New"/>
          <w:szCs w:val="24"/>
        </w:rPr>
        <w:t>15,</w:t>
      </w:r>
      <w:r w:rsidR="00F149D8">
        <w:rPr>
          <w:rFonts w:ascii="Courier New" w:hAnsi="Courier New" w:cs="Courier New"/>
          <w:szCs w:val="24"/>
        </w:rPr>
        <w:t xml:space="preserve">662,267 </w:t>
      </w:r>
      <w:r w:rsidRPr="00984E60">
        <w:rPr>
          <w:rFonts w:ascii="Courier New" w:hAnsi="Courier New" w:cs="Courier New"/>
          <w:szCs w:val="24"/>
        </w:rPr>
        <w:t>MWh = $</w:t>
      </w:r>
      <w:r w:rsidR="00E3199E">
        <w:rPr>
          <w:rFonts w:ascii="Courier New" w:hAnsi="Courier New" w:cs="Courier New"/>
          <w:szCs w:val="24"/>
        </w:rPr>
        <w:t>5.</w:t>
      </w:r>
      <w:r w:rsidR="00F149D8">
        <w:rPr>
          <w:rFonts w:ascii="Courier New" w:hAnsi="Courier New" w:cs="Courier New"/>
          <w:szCs w:val="24"/>
        </w:rPr>
        <w:t>407</w:t>
      </w:r>
      <w:r w:rsidRPr="00984E60">
        <w:rPr>
          <w:rFonts w:ascii="Courier New" w:hAnsi="Courier New" w:cs="Courier New"/>
          <w:szCs w:val="24"/>
        </w:rPr>
        <w:t>/MWh = 0.</w:t>
      </w:r>
      <w:r w:rsidR="00E3199E">
        <w:rPr>
          <w:rFonts w:ascii="Courier New" w:hAnsi="Courier New" w:cs="Courier New"/>
          <w:szCs w:val="24"/>
        </w:rPr>
        <w:t>5</w:t>
      </w:r>
      <w:r w:rsidR="00F149D8">
        <w:rPr>
          <w:rFonts w:ascii="Courier New" w:hAnsi="Courier New" w:cs="Courier New"/>
          <w:szCs w:val="24"/>
        </w:rPr>
        <w:t>407</w:t>
      </w:r>
      <w:r w:rsidRPr="00984E60">
        <w:rPr>
          <w:rFonts w:ascii="Courier New" w:hAnsi="Courier New" w:cs="Courier New"/>
          <w:szCs w:val="24"/>
        </w:rPr>
        <w:t xml:space="preserve"> cents/kWh).  The rate for demand response incentive payments is negative 0.0</w:t>
      </w:r>
      <w:r w:rsidR="00B83107">
        <w:rPr>
          <w:rFonts w:ascii="Courier New" w:hAnsi="Courier New" w:cs="Courier New"/>
          <w:szCs w:val="24"/>
        </w:rPr>
        <w:t>018</w:t>
      </w:r>
      <w:r w:rsidRPr="00984E60">
        <w:rPr>
          <w:rFonts w:ascii="Courier New" w:hAnsi="Courier New" w:cs="Courier New"/>
          <w:szCs w:val="24"/>
        </w:rPr>
        <w:t xml:space="preserve"> cents per kWh, which is calculated by dividing the negative $</w:t>
      </w:r>
      <w:r w:rsidR="00B83107">
        <w:rPr>
          <w:rFonts w:ascii="Courier New" w:hAnsi="Courier New" w:cs="Courier New"/>
          <w:szCs w:val="24"/>
        </w:rPr>
        <w:t>267,757</w:t>
      </w:r>
      <w:r w:rsidRPr="00984E60">
        <w:rPr>
          <w:rFonts w:ascii="Courier New" w:hAnsi="Courier New" w:cs="Courier New"/>
          <w:szCs w:val="24"/>
        </w:rPr>
        <w:t xml:space="preserve"> from Table </w:t>
      </w:r>
      <w:r>
        <w:rPr>
          <w:rFonts w:ascii="Courier New" w:hAnsi="Courier New" w:cs="Courier New"/>
          <w:szCs w:val="24"/>
        </w:rPr>
        <w:t>2</w:t>
      </w:r>
      <w:r w:rsidRPr="00984E60">
        <w:rPr>
          <w:rFonts w:ascii="Courier New" w:hAnsi="Courier New" w:cs="Courier New"/>
          <w:szCs w:val="24"/>
        </w:rPr>
        <w:t xml:space="preserve"> by the forecast of Idaho jurisdictional firm sales</w:t>
      </w:r>
      <w:r w:rsidR="00560090">
        <w:rPr>
          <w:rFonts w:ascii="Courier New" w:hAnsi="Courier New" w:cs="Courier New"/>
          <w:szCs w:val="24"/>
        </w:rPr>
        <w:t xml:space="preserve">, </w:t>
      </w:r>
      <w:r w:rsidR="00B83107">
        <w:rPr>
          <w:rFonts w:ascii="Courier New" w:hAnsi="Courier New" w:cs="Courier New"/>
          <w:szCs w:val="24"/>
        </w:rPr>
        <w:t>net of Black Mesa Solar generation</w:t>
      </w:r>
      <w:r w:rsidR="00F7226E">
        <w:rPr>
          <w:rFonts w:ascii="Courier New" w:hAnsi="Courier New" w:cs="Courier New"/>
          <w:szCs w:val="24"/>
        </w:rPr>
        <w:t>,</w:t>
      </w:r>
      <w:r w:rsidR="00A54DB3">
        <w:rPr>
          <w:rFonts w:ascii="Courier New" w:hAnsi="Courier New" w:cs="Courier New"/>
          <w:szCs w:val="24"/>
        </w:rPr>
        <w:t xml:space="preserve"> </w:t>
      </w:r>
      <w:r w:rsidRPr="00984E60">
        <w:rPr>
          <w:rFonts w:ascii="Courier New" w:hAnsi="Courier New" w:cs="Courier New"/>
          <w:szCs w:val="24"/>
        </w:rPr>
        <w:t>of 14,</w:t>
      </w:r>
      <w:r w:rsidR="00560090">
        <w:rPr>
          <w:rFonts w:ascii="Courier New" w:hAnsi="Courier New" w:cs="Courier New"/>
          <w:szCs w:val="24"/>
        </w:rPr>
        <w:t>9</w:t>
      </w:r>
      <w:r w:rsidR="00F149D8">
        <w:rPr>
          <w:rFonts w:ascii="Courier New" w:hAnsi="Courier New" w:cs="Courier New"/>
          <w:szCs w:val="24"/>
        </w:rPr>
        <w:t>60</w:t>
      </w:r>
      <w:r w:rsidRPr="00984E60">
        <w:rPr>
          <w:rFonts w:ascii="Courier New" w:hAnsi="Courier New" w:cs="Courier New"/>
          <w:szCs w:val="24"/>
        </w:rPr>
        <w:t>,</w:t>
      </w:r>
      <w:r w:rsidR="00F149D8">
        <w:rPr>
          <w:rFonts w:ascii="Courier New" w:hAnsi="Courier New" w:cs="Courier New"/>
          <w:szCs w:val="24"/>
        </w:rPr>
        <w:t>556</w:t>
      </w:r>
      <w:r w:rsidRPr="00984E60">
        <w:rPr>
          <w:rFonts w:ascii="Courier New" w:hAnsi="Courier New" w:cs="Courier New"/>
          <w:szCs w:val="24"/>
        </w:rPr>
        <w:t xml:space="preserve"> MWh (</w:t>
      </w:r>
      <w:r w:rsidRPr="00984E60">
        <w:rPr>
          <w:rFonts w:ascii="Courier New" w:hAnsi="Courier New" w:cs="Courier New"/>
          <w:szCs w:val="24"/>
        </w:rPr>
        <w:noBreakHyphen/>
        <w:t>$</w:t>
      </w:r>
      <w:r w:rsidR="00B83107">
        <w:rPr>
          <w:rFonts w:ascii="Courier New" w:hAnsi="Courier New" w:cs="Courier New"/>
          <w:szCs w:val="24"/>
        </w:rPr>
        <w:t>267,757</w:t>
      </w:r>
      <w:r w:rsidR="00B83107" w:rsidRPr="00984E60">
        <w:rPr>
          <w:rFonts w:ascii="Courier New" w:hAnsi="Courier New" w:cs="Courier New"/>
          <w:szCs w:val="24"/>
        </w:rPr>
        <w:t xml:space="preserve"> </w:t>
      </w:r>
      <w:r w:rsidRPr="00984E60">
        <w:rPr>
          <w:rFonts w:ascii="Courier New" w:hAnsi="Courier New" w:cs="Courier New"/>
          <w:szCs w:val="24"/>
        </w:rPr>
        <w:t xml:space="preserve">/ </w:t>
      </w:r>
      <w:r w:rsidR="00F149D8" w:rsidRPr="00984E60">
        <w:rPr>
          <w:rFonts w:ascii="Courier New" w:hAnsi="Courier New" w:cs="Courier New"/>
          <w:szCs w:val="24"/>
        </w:rPr>
        <w:t>14,</w:t>
      </w:r>
      <w:r w:rsidR="00F149D8">
        <w:rPr>
          <w:rFonts w:ascii="Courier New" w:hAnsi="Courier New" w:cs="Courier New"/>
          <w:szCs w:val="24"/>
        </w:rPr>
        <w:t>960</w:t>
      </w:r>
      <w:r w:rsidR="00F149D8" w:rsidRPr="00984E60">
        <w:rPr>
          <w:rFonts w:ascii="Courier New" w:hAnsi="Courier New" w:cs="Courier New"/>
          <w:szCs w:val="24"/>
        </w:rPr>
        <w:t>,</w:t>
      </w:r>
      <w:r w:rsidR="00F149D8">
        <w:rPr>
          <w:rFonts w:ascii="Courier New" w:hAnsi="Courier New" w:cs="Courier New"/>
          <w:szCs w:val="24"/>
        </w:rPr>
        <w:t>556</w:t>
      </w:r>
      <w:r w:rsidR="00F149D8" w:rsidRPr="00984E60">
        <w:rPr>
          <w:rFonts w:ascii="Courier New" w:hAnsi="Courier New" w:cs="Courier New"/>
          <w:szCs w:val="24"/>
        </w:rPr>
        <w:t xml:space="preserve"> </w:t>
      </w:r>
      <w:r w:rsidRPr="00984E60">
        <w:rPr>
          <w:rFonts w:ascii="Courier New" w:hAnsi="Courier New" w:cs="Courier New"/>
          <w:szCs w:val="24"/>
        </w:rPr>
        <w:t>MWh = -$0.</w:t>
      </w:r>
      <w:r w:rsidR="00B83107">
        <w:rPr>
          <w:rFonts w:ascii="Courier New" w:hAnsi="Courier New" w:cs="Courier New"/>
          <w:szCs w:val="24"/>
        </w:rPr>
        <w:t>0180</w:t>
      </w:r>
      <w:r w:rsidRPr="00984E60">
        <w:rPr>
          <w:rFonts w:ascii="Courier New" w:hAnsi="Courier New" w:cs="Courier New"/>
          <w:szCs w:val="24"/>
        </w:rPr>
        <w:t>/MWh = -0.0</w:t>
      </w:r>
      <w:r w:rsidR="00B83107">
        <w:rPr>
          <w:rFonts w:ascii="Courier New" w:hAnsi="Courier New" w:cs="Courier New"/>
          <w:szCs w:val="24"/>
        </w:rPr>
        <w:t>018</w:t>
      </w:r>
      <w:r w:rsidRPr="00984E60">
        <w:rPr>
          <w:rFonts w:ascii="Courier New" w:hAnsi="Courier New" w:cs="Courier New"/>
          <w:szCs w:val="24"/>
        </w:rPr>
        <w:t xml:space="preserve"> cents/kWh).  The forecast portion of the PCA rate is </w:t>
      </w:r>
      <w:r w:rsidR="00E3199E">
        <w:rPr>
          <w:rFonts w:ascii="Courier New" w:hAnsi="Courier New" w:cs="Courier New"/>
          <w:szCs w:val="24"/>
        </w:rPr>
        <w:t>1.</w:t>
      </w:r>
      <w:r w:rsidR="00B83107">
        <w:rPr>
          <w:rFonts w:ascii="Courier New" w:hAnsi="Courier New" w:cs="Courier New"/>
          <w:szCs w:val="24"/>
        </w:rPr>
        <w:t>45</w:t>
      </w:r>
      <w:r w:rsidR="00F149D8">
        <w:rPr>
          <w:rFonts w:ascii="Courier New" w:hAnsi="Courier New" w:cs="Courier New"/>
          <w:szCs w:val="24"/>
        </w:rPr>
        <w:t>72</w:t>
      </w:r>
      <w:r w:rsidRPr="00984E60">
        <w:rPr>
          <w:rFonts w:ascii="Courier New" w:hAnsi="Courier New" w:cs="Courier New"/>
          <w:szCs w:val="24"/>
        </w:rPr>
        <w:t xml:space="preserve"> cents per kWh, which is calculated by adding the non-PURPA expense of 0.</w:t>
      </w:r>
      <w:r w:rsidR="00560090">
        <w:rPr>
          <w:rFonts w:ascii="Courier New" w:hAnsi="Courier New" w:cs="Courier New"/>
          <w:szCs w:val="24"/>
        </w:rPr>
        <w:t>91</w:t>
      </w:r>
      <w:r w:rsidR="00F149D8">
        <w:rPr>
          <w:rFonts w:ascii="Courier New" w:hAnsi="Courier New" w:cs="Courier New"/>
          <w:szCs w:val="24"/>
        </w:rPr>
        <w:t>83</w:t>
      </w:r>
      <w:r w:rsidRPr="00984E60">
        <w:rPr>
          <w:rFonts w:ascii="Courier New" w:hAnsi="Courier New" w:cs="Courier New"/>
          <w:szCs w:val="24"/>
        </w:rPr>
        <w:t xml:space="preserve"> cents per kWh to the PURPA expense of 0.</w:t>
      </w:r>
      <w:r w:rsidR="00E3199E">
        <w:rPr>
          <w:rFonts w:ascii="Courier New" w:hAnsi="Courier New" w:cs="Courier New"/>
          <w:szCs w:val="24"/>
        </w:rPr>
        <w:t>5</w:t>
      </w:r>
      <w:r w:rsidR="00F149D8">
        <w:rPr>
          <w:rFonts w:ascii="Courier New" w:hAnsi="Courier New" w:cs="Courier New"/>
          <w:szCs w:val="24"/>
        </w:rPr>
        <w:t>407</w:t>
      </w:r>
      <w:r w:rsidRPr="00984E60">
        <w:rPr>
          <w:rFonts w:ascii="Courier New" w:hAnsi="Courier New" w:cs="Courier New"/>
          <w:szCs w:val="24"/>
        </w:rPr>
        <w:t xml:space="preserve"> cents per kWh to the demand response incentive payment of negative 0.0</w:t>
      </w:r>
      <w:r w:rsidR="00560090">
        <w:rPr>
          <w:rFonts w:ascii="Courier New" w:hAnsi="Courier New" w:cs="Courier New"/>
          <w:szCs w:val="24"/>
        </w:rPr>
        <w:t>018</w:t>
      </w:r>
      <w:r w:rsidRPr="00984E60">
        <w:rPr>
          <w:rFonts w:ascii="Courier New" w:hAnsi="Courier New" w:cs="Courier New"/>
          <w:szCs w:val="24"/>
        </w:rPr>
        <w:t xml:space="preserve"> cents per kWh (0.</w:t>
      </w:r>
      <w:r w:rsidR="00F149D8">
        <w:rPr>
          <w:rFonts w:ascii="Courier New" w:hAnsi="Courier New" w:cs="Courier New"/>
          <w:szCs w:val="24"/>
        </w:rPr>
        <w:t>9183</w:t>
      </w:r>
      <w:r w:rsidRPr="00984E60">
        <w:rPr>
          <w:rFonts w:ascii="Courier New" w:hAnsi="Courier New" w:cs="Courier New"/>
          <w:szCs w:val="24"/>
        </w:rPr>
        <w:t xml:space="preserve"> + 0.</w:t>
      </w:r>
      <w:r w:rsidR="00F149D8" w:rsidRPr="00F149D8">
        <w:rPr>
          <w:rFonts w:ascii="Courier New" w:hAnsi="Courier New" w:cs="Courier New"/>
          <w:szCs w:val="24"/>
        </w:rPr>
        <w:t xml:space="preserve"> </w:t>
      </w:r>
      <w:r w:rsidR="00F149D8">
        <w:rPr>
          <w:rFonts w:ascii="Courier New" w:hAnsi="Courier New" w:cs="Courier New"/>
          <w:szCs w:val="24"/>
        </w:rPr>
        <w:t xml:space="preserve">5407 </w:t>
      </w:r>
      <w:r w:rsidRPr="00984E60">
        <w:rPr>
          <w:rFonts w:ascii="Courier New" w:hAnsi="Courier New" w:cs="Courier New"/>
          <w:szCs w:val="24"/>
        </w:rPr>
        <w:t>+ -0.</w:t>
      </w:r>
      <w:r w:rsidR="00560090" w:rsidRPr="00984E60">
        <w:rPr>
          <w:rFonts w:ascii="Courier New" w:hAnsi="Courier New" w:cs="Courier New"/>
          <w:szCs w:val="24"/>
        </w:rPr>
        <w:t>0</w:t>
      </w:r>
      <w:r w:rsidR="00560090">
        <w:rPr>
          <w:rFonts w:ascii="Courier New" w:hAnsi="Courier New" w:cs="Courier New"/>
          <w:szCs w:val="24"/>
        </w:rPr>
        <w:t>018</w:t>
      </w:r>
      <w:r w:rsidRPr="00984E60">
        <w:rPr>
          <w:rFonts w:ascii="Courier New" w:hAnsi="Courier New" w:cs="Courier New"/>
          <w:szCs w:val="24"/>
        </w:rPr>
        <w:t xml:space="preserve"> = </w:t>
      </w:r>
      <w:r w:rsidR="00E3199E">
        <w:rPr>
          <w:rFonts w:ascii="Courier New" w:hAnsi="Courier New" w:cs="Courier New"/>
          <w:szCs w:val="24"/>
        </w:rPr>
        <w:t>1.</w:t>
      </w:r>
      <w:r w:rsidR="00560090">
        <w:rPr>
          <w:rFonts w:ascii="Courier New" w:hAnsi="Courier New" w:cs="Courier New"/>
          <w:szCs w:val="24"/>
        </w:rPr>
        <w:t>45</w:t>
      </w:r>
      <w:r w:rsidR="00F149D8">
        <w:rPr>
          <w:rFonts w:ascii="Courier New" w:hAnsi="Courier New" w:cs="Courier New"/>
          <w:szCs w:val="24"/>
        </w:rPr>
        <w:t>72</w:t>
      </w:r>
      <w:r w:rsidR="00E3199E" w:rsidRPr="00984E60">
        <w:rPr>
          <w:rFonts w:ascii="Courier New" w:hAnsi="Courier New" w:cs="Courier New"/>
          <w:szCs w:val="24"/>
        </w:rPr>
        <w:t xml:space="preserve"> </w:t>
      </w:r>
      <w:r w:rsidRPr="00984E60">
        <w:rPr>
          <w:rFonts w:ascii="Courier New" w:hAnsi="Courier New" w:cs="Courier New"/>
          <w:szCs w:val="24"/>
        </w:rPr>
        <w:t>cents/kWh).</w:t>
      </w:r>
    </w:p>
    <w:p w14:paraId="6CFEF80F" w14:textId="77777777" w:rsidR="001D3F2A" w:rsidRPr="00984E60" w:rsidRDefault="001D3F2A" w:rsidP="001D3F2A">
      <w:pPr>
        <w:pStyle w:val="Testimony"/>
        <w:widowControl/>
        <w:tabs>
          <w:tab w:val="clear" w:pos="2160"/>
          <w:tab w:val="left" w:pos="1980"/>
        </w:tabs>
        <w:spacing w:line="456" w:lineRule="auto"/>
        <w:rPr>
          <w:rFonts w:ascii="Courier New" w:hAnsi="Courier New" w:cs="Courier New"/>
          <w:szCs w:val="24"/>
        </w:rPr>
      </w:pPr>
      <w:r w:rsidRPr="00984E60">
        <w:rPr>
          <w:rFonts w:ascii="Courier New" w:hAnsi="Courier New" w:cs="Courier New"/>
          <w:szCs w:val="24"/>
        </w:rPr>
        <w:t>Q.</w:t>
      </w:r>
      <w:r w:rsidRPr="00984E60">
        <w:rPr>
          <w:rFonts w:ascii="Courier New" w:hAnsi="Courier New" w:cs="Courier New"/>
          <w:szCs w:val="24"/>
        </w:rPr>
        <w:tab/>
        <w:t xml:space="preserve">How did you compute this year’s </w:t>
      </w:r>
      <w:r w:rsidR="00A63BCD">
        <w:rPr>
          <w:rFonts w:ascii="Courier New" w:hAnsi="Courier New" w:cs="Courier New"/>
          <w:szCs w:val="24"/>
        </w:rPr>
        <w:t>Balancing Account rate</w:t>
      </w:r>
      <w:r w:rsidRPr="00984E60">
        <w:rPr>
          <w:rFonts w:ascii="Courier New" w:hAnsi="Courier New" w:cs="Courier New"/>
          <w:szCs w:val="24"/>
        </w:rPr>
        <w:t>?</w:t>
      </w:r>
    </w:p>
    <w:p w14:paraId="0C7F5A6D" w14:textId="27FB846A" w:rsidR="001D3F2A" w:rsidRPr="00984E60" w:rsidRDefault="001D3F2A" w:rsidP="001D3F2A">
      <w:pPr>
        <w:pStyle w:val="Testimony"/>
        <w:widowControl/>
        <w:tabs>
          <w:tab w:val="clear" w:pos="2160"/>
          <w:tab w:val="left" w:pos="1980"/>
          <w:tab w:val="left" w:pos="6390"/>
        </w:tabs>
        <w:spacing w:line="456" w:lineRule="auto"/>
        <w:rPr>
          <w:rFonts w:ascii="Courier New" w:hAnsi="Courier New" w:cs="Courier New"/>
          <w:szCs w:val="24"/>
        </w:rPr>
      </w:pPr>
      <w:r w:rsidRPr="00984E60">
        <w:rPr>
          <w:rFonts w:ascii="Courier New" w:hAnsi="Courier New" w:cs="Courier New"/>
          <w:szCs w:val="24"/>
        </w:rPr>
        <w:lastRenderedPageBreak/>
        <w:t>A.</w:t>
      </w:r>
      <w:r w:rsidRPr="00984E60">
        <w:rPr>
          <w:rFonts w:ascii="Courier New" w:hAnsi="Courier New" w:cs="Courier New"/>
          <w:szCs w:val="24"/>
        </w:rPr>
        <w:tab/>
      </w:r>
      <w:r>
        <w:rPr>
          <w:rFonts w:ascii="Courier New" w:hAnsi="Courier New" w:cs="Courier New"/>
          <w:szCs w:val="24"/>
        </w:rPr>
        <w:t xml:space="preserve">As shown in Exhibit No. 2, </w:t>
      </w:r>
      <w:r w:rsidRPr="00984E60">
        <w:rPr>
          <w:rFonts w:ascii="Courier New" w:hAnsi="Courier New" w:cs="Courier New"/>
          <w:szCs w:val="24"/>
        </w:rPr>
        <w:t xml:space="preserve">this year’s </w:t>
      </w:r>
      <w:r w:rsidR="002E34A4">
        <w:rPr>
          <w:rFonts w:ascii="Courier New" w:hAnsi="Courier New" w:cs="Courier New"/>
          <w:szCs w:val="24"/>
        </w:rPr>
        <w:t>Balancing Adjustment</w:t>
      </w:r>
      <w:r w:rsidRPr="00984E60">
        <w:rPr>
          <w:rFonts w:ascii="Courier New" w:hAnsi="Courier New" w:cs="Courier New"/>
          <w:szCs w:val="24"/>
        </w:rPr>
        <w:t xml:space="preserve"> of the PCA is approximately $</w:t>
      </w:r>
      <w:r w:rsidR="00560090">
        <w:rPr>
          <w:rFonts w:ascii="Courier New" w:hAnsi="Courier New" w:cs="Courier New"/>
          <w:szCs w:val="24"/>
        </w:rPr>
        <w:t xml:space="preserve">190 </w:t>
      </w:r>
      <w:r w:rsidRPr="00984E60">
        <w:rPr>
          <w:rFonts w:ascii="Courier New" w:hAnsi="Courier New" w:cs="Courier New"/>
          <w:szCs w:val="24"/>
        </w:rPr>
        <w:t>million, which, when divided by the Company’s forecast of Idaho jurisdictional sales</w:t>
      </w:r>
      <w:r w:rsidR="00A54DB3">
        <w:rPr>
          <w:rFonts w:ascii="Courier New" w:hAnsi="Courier New" w:cs="Courier New"/>
          <w:szCs w:val="24"/>
        </w:rPr>
        <w:t>, net of Black Mesa generation,</w:t>
      </w:r>
      <w:r w:rsidRPr="00984E60">
        <w:rPr>
          <w:rFonts w:ascii="Courier New" w:hAnsi="Courier New" w:cs="Courier New"/>
          <w:szCs w:val="24"/>
        </w:rPr>
        <w:t xml:space="preserve"> of </w:t>
      </w:r>
      <w:r w:rsidR="00560090" w:rsidRPr="00984E60">
        <w:rPr>
          <w:rFonts w:ascii="Courier New" w:hAnsi="Courier New" w:cs="Courier New"/>
          <w:szCs w:val="24"/>
        </w:rPr>
        <w:t>14,</w:t>
      </w:r>
      <w:r w:rsidR="00560090">
        <w:rPr>
          <w:rFonts w:ascii="Courier New" w:hAnsi="Courier New" w:cs="Courier New"/>
          <w:szCs w:val="24"/>
        </w:rPr>
        <w:t>9</w:t>
      </w:r>
      <w:r w:rsidR="00F149D8">
        <w:rPr>
          <w:rFonts w:ascii="Courier New" w:hAnsi="Courier New" w:cs="Courier New"/>
          <w:szCs w:val="24"/>
        </w:rPr>
        <w:t>60</w:t>
      </w:r>
      <w:r w:rsidR="00560090" w:rsidRPr="00984E60">
        <w:rPr>
          <w:rFonts w:ascii="Courier New" w:hAnsi="Courier New" w:cs="Courier New"/>
          <w:szCs w:val="24"/>
        </w:rPr>
        <w:t>,</w:t>
      </w:r>
      <w:r w:rsidR="00F149D8">
        <w:rPr>
          <w:rFonts w:ascii="Courier New" w:hAnsi="Courier New" w:cs="Courier New"/>
          <w:szCs w:val="24"/>
        </w:rPr>
        <w:t>556</w:t>
      </w:r>
      <w:r w:rsidR="00560090" w:rsidRPr="00984E60">
        <w:rPr>
          <w:rFonts w:ascii="Courier New" w:hAnsi="Courier New" w:cs="Courier New"/>
          <w:szCs w:val="24"/>
        </w:rPr>
        <w:t xml:space="preserve"> </w:t>
      </w:r>
      <w:r w:rsidRPr="00984E60">
        <w:rPr>
          <w:rFonts w:ascii="Courier New" w:hAnsi="Courier New" w:cs="Courier New"/>
          <w:szCs w:val="24"/>
        </w:rPr>
        <w:t xml:space="preserve">MWh, results in a rate of </w:t>
      </w:r>
      <w:r w:rsidR="00560090">
        <w:rPr>
          <w:rFonts w:ascii="Courier New" w:hAnsi="Courier New" w:cs="Courier New"/>
          <w:szCs w:val="24"/>
        </w:rPr>
        <w:t>1.2</w:t>
      </w:r>
      <w:r w:rsidR="00F149D8">
        <w:rPr>
          <w:rFonts w:ascii="Courier New" w:hAnsi="Courier New" w:cs="Courier New"/>
          <w:szCs w:val="24"/>
        </w:rPr>
        <w:t>714</w:t>
      </w:r>
      <w:r w:rsidRPr="00392836">
        <w:rPr>
          <w:rFonts w:ascii="Courier New" w:hAnsi="Courier New" w:cs="Courier New"/>
          <w:szCs w:val="24"/>
        </w:rPr>
        <w:t xml:space="preserve"> </w:t>
      </w:r>
      <w:r w:rsidRPr="004274C6">
        <w:rPr>
          <w:rFonts w:ascii="Courier New" w:hAnsi="Courier New" w:cs="Courier New"/>
          <w:szCs w:val="24"/>
        </w:rPr>
        <w:t>cents per kWh ($</w:t>
      </w:r>
      <w:r w:rsidR="00560090">
        <w:rPr>
          <w:rFonts w:ascii="Courier New" w:hAnsi="Courier New" w:cs="Courier New"/>
          <w:szCs w:val="24"/>
        </w:rPr>
        <w:t>190,205,569</w:t>
      </w:r>
      <w:r w:rsidRPr="00392836">
        <w:rPr>
          <w:rFonts w:ascii="Courier New" w:hAnsi="Courier New" w:cs="Courier New"/>
          <w:szCs w:val="24"/>
        </w:rPr>
        <w:t xml:space="preserve"> </w:t>
      </w:r>
      <w:r w:rsidRPr="004274C6">
        <w:rPr>
          <w:rFonts w:ascii="Courier New" w:hAnsi="Courier New" w:cs="Courier New"/>
          <w:szCs w:val="24"/>
        </w:rPr>
        <w:t xml:space="preserve">/ </w:t>
      </w:r>
      <w:r w:rsidR="00F149D8" w:rsidRPr="00984E60">
        <w:rPr>
          <w:rFonts w:ascii="Courier New" w:hAnsi="Courier New" w:cs="Courier New"/>
          <w:szCs w:val="24"/>
        </w:rPr>
        <w:t>14,</w:t>
      </w:r>
      <w:r w:rsidR="00F149D8">
        <w:rPr>
          <w:rFonts w:ascii="Courier New" w:hAnsi="Courier New" w:cs="Courier New"/>
          <w:szCs w:val="24"/>
        </w:rPr>
        <w:t>960</w:t>
      </w:r>
      <w:r w:rsidR="00F149D8" w:rsidRPr="00984E60">
        <w:rPr>
          <w:rFonts w:ascii="Courier New" w:hAnsi="Courier New" w:cs="Courier New"/>
          <w:szCs w:val="24"/>
        </w:rPr>
        <w:t>,</w:t>
      </w:r>
      <w:r w:rsidR="00F149D8">
        <w:rPr>
          <w:rFonts w:ascii="Courier New" w:hAnsi="Courier New" w:cs="Courier New"/>
          <w:szCs w:val="24"/>
        </w:rPr>
        <w:t>556</w:t>
      </w:r>
      <w:r w:rsidR="00F149D8" w:rsidRPr="00984E60">
        <w:rPr>
          <w:rFonts w:ascii="Courier New" w:hAnsi="Courier New" w:cs="Courier New"/>
          <w:szCs w:val="24"/>
        </w:rPr>
        <w:t xml:space="preserve"> </w:t>
      </w:r>
      <w:r w:rsidRPr="004274C6">
        <w:rPr>
          <w:rFonts w:ascii="Courier New" w:hAnsi="Courier New" w:cs="Courier New"/>
          <w:szCs w:val="24"/>
        </w:rPr>
        <w:t>=</w:t>
      </w:r>
      <w:r w:rsidR="00FE1306">
        <w:rPr>
          <w:rFonts w:ascii="Courier New" w:hAnsi="Courier New" w:cs="Courier New"/>
          <w:szCs w:val="24"/>
        </w:rPr>
        <w:t xml:space="preserve"> </w:t>
      </w:r>
      <w:r w:rsidRPr="004274C6">
        <w:rPr>
          <w:rFonts w:ascii="Courier New" w:hAnsi="Courier New" w:cs="Courier New"/>
          <w:szCs w:val="24"/>
        </w:rPr>
        <w:t>$</w:t>
      </w:r>
      <w:r w:rsidR="00560090">
        <w:rPr>
          <w:rFonts w:ascii="Courier New" w:hAnsi="Courier New" w:cs="Courier New"/>
          <w:szCs w:val="24"/>
        </w:rPr>
        <w:t>12.</w:t>
      </w:r>
      <w:r w:rsidR="00F149D8">
        <w:rPr>
          <w:rFonts w:ascii="Courier New" w:hAnsi="Courier New" w:cs="Courier New"/>
          <w:szCs w:val="24"/>
        </w:rPr>
        <w:t>714</w:t>
      </w:r>
      <w:r w:rsidRPr="00402AC9">
        <w:rPr>
          <w:rFonts w:ascii="Courier New" w:hAnsi="Courier New" w:cs="Courier New"/>
          <w:szCs w:val="24"/>
        </w:rPr>
        <w:t xml:space="preserve">/MWh = </w:t>
      </w:r>
      <w:r w:rsidR="00560090">
        <w:rPr>
          <w:rFonts w:ascii="Courier New" w:hAnsi="Courier New" w:cs="Courier New"/>
          <w:szCs w:val="24"/>
        </w:rPr>
        <w:t>1.2</w:t>
      </w:r>
      <w:r w:rsidR="00F149D8">
        <w:rPr>
          <w:rFonts w:ascii="Courier New" w:hAnsi="Courier New" w:cs="Courier New"/>
          <w:szCs w:val="24"/>
        </w:rPr>
        <w:t>714</w:t>
      </w:r>
      <w:r w:rsidRPr="00FE1306">
        <w:rPr>
          <w:rFonts w:ascii="Courier New" w:hAnsi="Courier New" w:cs="Courier New"/>
          <w:color w:val="C00000"/>
          <w:szCs w:val="24"/>
        </w:rPr>
        <w:t xml:space="preserve"> </w:t>
      </w:r>
      <w:r w:rsidRPr="00984E60">
        <w:rPr>
          <w:rFonts w:ascii="Courier New" w:hAnsi="Courier New" w:cs="Courier New"/>
          <w:szCs w:val="24"/>
        </w:rPr>
        <w:t>cents/kWh).</w:t>
      </w:r>
    </w:p>
    <w:p w14:paraId="0CBCCE8F" w14:textId="77777777" w:rsidR="001D3F2A" w:rsidRPr="00984E60" w:rsidRDefault="001D3F2A" w:rsidP="001D3F2A">
      <w:pPr>
        <w:pStyle w:val="Testimony"/>
        <w:widowControl/>
        <w:tabs>
          <w:tab w:val="clear" w:pos="2160"/>
          <w:tab w:val="left" w:pos="1980"/>
        </w:tabs>
        <w:spacing w:line="456" w:lineRule="auto"/>
        <w:rPr>
          <w:rFonts w:ascii="Courier New" w:hAnsi="Courier New" w:cs="Courier New"/>
          <w:szCs w:val="24"/>
        </w:rPr>
      </w:pPr>
      <w:r w:rsidRPr="00984E60">
        <w:rPr>
          <w:rFonts w:ascii="Courier New" w:hAnsi="Courier New" w:cs="Courier New"/>
          <w:szCs w:val="24"/>
        </w:rPr>
        <w:t>Q.</w:t>
      </w:r>
      <w:r w:rsidRPr="00984E60">
        <w:rPr>
          <w:rFonts w:ascii="Courier New" w:hAnsi="Courier New" w:cs="Courier New"/>
          <w:szCs w:val="24"/>
        </w:rPr>
        <w:tab/>
        <w:t>What is the resulting PCA rate when you combine all the PCA components described previously?</w:t>
      </w:r>
    </w:p>
    <w:p w14:paraId="424CF7F3" w14:textId="3F9BDF63" w:rsidR="001D3F2A" w:rsidRDefault="001D3F2A" w:rsidP="001D3F2A">
      <w:pPr>
        <w:pStyle w:val="Testimony"/>
        <w:widowControl/>
        <w:tabs>
          <w:tab w:val="clear" w:pos="2160"/>
          <w:tab w:val="left" w:pos="1980"/>
        </w:tabs>
        <w:spacing w:line="456" w:lineRule="auto"/>
        <w:rPr>
          <w:rFonts w:ascii="Courier New" w:hAnsi="Courier New" w:cs="Courier New"/>
          <w:szCs w:val="24"/>
        </w:rPr>
      </w:pPr>
      <w:r w:rsidRPr="00984E60">
        <w:rPr>
          <w:rFonts w:ascii="Courier New" w:hAnsi="Courier New" w:cs="Courier New"/>
          <w:szCs w:val="24"/>
        </w:rPr>
        <w:t>A.</w:t>
      </w:r>
      <w:r w:rsidRPr="00984E60">
        <w:rPr>
          <w:rFonts w:ascii="Courier New" w:hAnsi="Courier New" w:cs="Courier New"/>
          <w:szCs w:val="24"/>
        </w:rPr>
        <w:tab/>
        <w:t xml:space="preserve">The uniform PCA rate comprises (1) </w:t>
      </w:r>
      <w:r>
        <w:rPr>
          <w:rFonts w:ascii="Courier New" w:hAnsi="Courier New" w:cs="Courier New"/>
          <w:szCs w:val="24"/>
        </w:rPr>
        <w:t xml:space="preserve">the </w:t>
      </w:r>
      <w:r w:rsidR="00FE1306">
        <w:rPr>
          <w:rFonts w:ascii="Courier New" w:hAnsi="Courier New" w:cs="Courier New"/>
          <w:szCs w:val="24"/>
        </w:rPr>
        <w:t>1</w:t>
      </w:r>
      <w:r w:rsidRPr="00984E60">
        <w:rPr>
          <w:rFonts w:ascii="Courier New" w:hAnsi="Courier New" w:cs="Courier New"/>
          <w:szCs w:val="24"/>
        </w:rPr>
        <w:t>.</w:t>
      </w:r>
      <w:r w:rsidR="00560090">
        <w:rPr>
          <w:rFonts w:ascii="Courier New" w:hAnsi="Courier New" w:cs="Courier New"/>
          <w:szCs w:val="24"/>
        </w:rPr>
        <w:t>45</w:t>
      </w:r>
      <w:r w:rsidR="00F149D8">
        <w:rPr>
          <w:rFonts w:ascii="Courier New" w:hAnsi="Courier New" w:cs="Courier New"/>
          <w:szCs w:val="24"/>
        </w:rPr>
        <w:t>72</w:t>
      </w:r>
      <w:r w:rsidRPr="00984E60">
        <w:rPr>
          <w:rFonts w:ascii="Courier New" w:hAnsi="Courier New" w:cs="Courier New"/>
          <w:szCs w:val="24"/>
        </w:rPr>
        <w:t xml:space="preserve"> cents per kWh for the </w:t>
      </w:r>
      <w:r w:rsidR="00202300">
        <w:rPr>
          <w:rFonts w:ascii="Courier New" w:hAnsi="Courier New" w:cs="Courier New"/>
          <w:szCs w:val="24"/>
        </w:rPr>
        <w:t>2023</w:t>
      </w:r>
      <w:r w:rsidRPr="00984E60">
        <w:rPr>
          <w:rFonts w:ascii="Courier New" w:hAnsi="Courier New" w:cs="Courier New"/>
          <w:szCs w:val="24"/>
        </w:rPr>
        <w:t>-</w:t>
      </w:r>
      <w:r w:rsidR="00202300">
        <w:rPr>
          <w:rFonts w:ascii="Courier New" w:hAnsi="Courier New" w:cs="Courier New"/>
          <w:szCs w:val="24"/>
        </w:rPr>
        <w:t>2024</w:t>
      </w:r>
      <w:r w:rsidRPr="00984E60">
        <w:rPr>
          <w:rFonts w:ascii="Courier New" w:hAnsi="Courier New" w:cs="Courier New"/>
          <w:szCs w:val="24"/>
        </w:rPr>
        <w:t xml:space="preserve"> projected power cost of serving firm loads under the current PCA methodology and 95 percent sharing,</w:t>
      </w:r>
      <w:r w:rsidR="00FE1306">
        <w:rPr>
          <w:rFonts w:ascii="Courier New" w:hAnsi="Courier New" w:cs="Courier New"/>
          <w:szCs w:val="24"/>
        </w:rPr>
        <w:t xml:space="preserve"> and</w:t>
      </w:r>
      <w:r w:rsidRPr="00984E60">
        <w:rPr>
          <w:rFonts w:ascii="Courier New" w:hAnsi="Courier New" w:cs="Courier New"/>
          <w:szCs w:val="24"/>
        </w:rPr>
        <w:t xml:space="preserve"> (2) the </w:t>
      </w:r>
      <w:r w:rsidR="00560090">
        <w:rPr>
          <w:rFonts w:ascii="Courier New" w:hAnsi="Courier New" w:cs="Courier New"/>
          <w:szCs w:val="24"/>
        </w:rPr>
        <w:t>1.2</w:t>
      </w:r>
      <w:r w:rsidR="00F149D8">
        <w:rPr>
          <w:rFonts w:ascii="Courier New" w:hAnsi="Courier New" w:cs="Courier New"/>
          <w:szCs w:val="24"/>
        </w:rPr>
        <w:t>714</w:t>
      </w:r>
      <w:r w:rsidRPr="00984E60">
        <w:rPr>
          <w:rFonts w:ascii="Courier New" w:hAnsi="Courier New" w:cs="Courier New"/>
          <w:szCs w:val="24"/>
        </w:rPr>
        <w:t xml:space="preserve"> cents per kWh for the </w:t>
      </w:r>
      <w:r w:rsidR="00202300">
        <w:rPr>
          <w:rFonts w:ascii="Courier New" w:hAnsi="Courier New" w:cs="Courier New"/>
          <w:szCs w:val="24"/>
        </w:rPr>
        <w:t>2022</w:t>
      </w:r>
      <w:r w:rsidRPr="00984E60">
        <w:rPr>
          <w:rFonts w:ascii="Courier New" w:hAnsi="Courier New" w:cs="Courier New"/>
          <w:szCs w:val="24"/>
        </w:rPr>
        <w:t>-</w:t>
      </w:r>
      <w:r w:rsidR="00202300">
        <w:rPr>
          <w:rFonts w:ascii="Courier New" w:hAnsi="Courier New" w:cs="Courier New"/>
          <w:szCs w:val="24"/>
        </w:rPr>
        <w:t>2023</w:t>
      </w:r>
      <w:r w:rsidRPr="00984E60">
        <w:rPr>
          <w:rFonts w:ascii="Courier New" w:hAnsi="Courier New" w:cs="Courier New"/>
          <w:szCs w:val="24"/>
        </w:rPr>
        <w:t xml:space="preserve"> </w:t>
      </w:r>
      <w:r w:rsidR="002E34A4">
        <w:rPr>
          <w:rFonts w:ascii="Courier New" w:hAnsi="Courier New" w:cs="Courier New"/>
          <w:szCs w:val="24"/>
        </w:rPr>
        <w:t>Balancing Adjustment</w:t>
      </w:r>
      <w:r w:rsidRPr="00984E60">
        <w:rPr>
          <w:rFonts w:ascii="Courier New" w:hAnsi="Courier New" w:cs="Courier New"/>
          <w:szCs w:val="24"/>
        </w:rPr>
        <w:t xml:space="preserve"> of the PCA</w:t>
      </w:r>
      <w:r w:rsidR="00FE1306">
        <w:rPr>
          <w:rFonts w:ascii="Courier New" w:hAnsi="Courier New" w:cs="Courier New"/>
          <w:szCs w:val="24"/>
        </w:rPr>
        <w:t>.</w:t>
      </w:r>
      <w:r w:rsidRPr="00984E60">
        <w:rPr>
          <w:rFonts w:ascii="Courier New" w:hAnsi="Courier New" w:cs="Courier New"/>
          <w:szCs w:val="24"/>
        </w:rPr>
        <w:t xml:space="preserve"> The sum of these </w:t>
      </w:r>
      <w:r w:rsidR="00392836">
        <w:rPr>
          <w:rFonts w:ascii="Courier New" w:hAnsi="Courier New" w:cs="Courier New"/>
          <w:szCs w:val="24"/>
        </w:rPr>
        <w:t>two</w:t>
      </w:r>
      <w:r w:rsidRPr="00984E60">
        <w:rPr>
          <w:rFonts w:ascii="Courier New" w:hAnsi="Courier New" w:cs="Courier New"/>
          <w:szCs w:val="24"/>
        </w:rPr>
        <w:t xml:space="preserve"> components is a </w:t>
      </w:r>
      <w:r w:rsidR="00560090">
        <w:rPr>
          <w:rFonts w:ascii="Courier New" w:hAnsi="Courier New" w:cs="Courier New"/>
          <w:szCs w:val="24"/>
        </w:rPr>
        <w:t>2.72</w:t>
      </w:r>
      <w:r w:rsidR="00F149D8">
        <w:rPr>
          <w:rFonts w:ascii="Courier New" w:hAnsi="Courier New" w:cs="Courier New"/>
          <w:szCs w:val="24"/>
        </w:rPr>
        <w:t>8</w:t>
      </w:r>
      <w:r w:rsidR="00560090">
        <w:rPr>
          <w:rFonts w:ascii="Courier New" w:hAnsi="Courier New" w:cs="Courier New"/>
          <w:szCs w:val="24"/>
        </w:rPr>
        <w:t>6</w:t>
      </w:r>
      <w:r w:rsidRPr="00984E60">
        <w:rPr>
          <w:rFonts w:ascii="Courier New" w:hAnsi="Courier New" w:cs="Courier New"/>
          <w:szCs w:val="24"/>
        </w:rPr>
        <w:t xml:space="preserve"> cents per kWh charge for all rate classes.</w:t>
      </w:r>
    </w:p>
    <w:p w14:paraId="1DD1015E" w14:textId="77777777" w:rsidR="00D64B0D" w:rsidRPr="00041186" w:rsidRDefault="00D64B0D" w:rsidP="001D3F2A">
      <w:pPr>
        <w:pStyle w:val="Testimony"/>
        <w:widowControl/>
        <w:numPr>
          <w:ilvl w:val="0"/>
          <w:numId w:val="13"/>
        </w:numPr>
        <w:tabs>
          <w:tab w:val="clear" w:pos="2160"/>
          <w:tab w:val="left" w:pos="720"/>
          <w:tab w:val="left" w:pos="1980"/>
        </w:tabs>
        <w:spacing w:line="456" w:lineRule="auto"/>
        <w:jc w:val="center"/>
        <w:rPr>
          <w:rFonts w:ascii="Courier New" w:hAnsi="Courier New" w:cs="Courier New"/>
          <w:b/>
          <w:u w:val="single"/>
        </w:rPr>
      </w:pPr>
      <w:bookmarkStart w:id="5" w:name="_Hlk36807182"/>
      <w:r w:rsidRPr="00041186">
        <w:rPr>
          <w:rFonts w:ascii="Courier New" w:hAnsi="Courier New" w:cs="Courier New"/>
          <w:b/>
          <w:u w:val="single"/>
        </w:rPr>
        <w:t xml:space="preserve">ADDITIONAL </w:t>
      </w:r>
      <w:r>
        <w:rPr>
          <w:rFonts w:ascii="Courier New" w:hAnsi="Courier New" w:cs="Courier New"/>
          <w:b/>
          <w:u w:val="single"/>
        </w:rPr>
        <w:t>PCA RATE</w:t>
      </w:r>
      <w:r w:rsidRPr="00041186">
        <w:rPr>
          <w:rFonts w:ascii="Courier New" w:hAnsi="Courier New" w:cs="Courier New"/>
          <w:b/>
          <w:u w:val="single"/>
        </w:rPr>
        <w:t xml:space="preserve"> ADJUSTMENTS</w:t>
      </w:r>
    </w:p>
    <w:p w14:paraId="762E2FB0" w14:textId="77777777" w:rsidR="00D64B0D" w:rsidRPr="00984E60" w:rsidRDefault="00D64B0D" w:rsidP="00D64B0D">
      <w:pPr>
        <w:pStyle w:val="Testimony"/>
        <w:widowControl/>
        <w:tabs>
          <w:tab w:val="clear" w:pos="2160"/>
        </w:tabs>
        <w:spacing w:line="456" w:lineRule="auto"/>
        <w:ind w:firstLine="0"/>
        <w:rPr>
          <w:rFonts w:ascii="Courier New" w:hAnsi="Courier New" w:cs="Courier New"/>
          <w:b/>
          <w:szCs w:val="24"/>
        </w:rPr>
      </w:pPr>
      <w:r w:rsidRPr="00984E60">
        <w:rPr>
          <w:rFonts w:ascii="Courier New" w:hAnsi="Courier New" w:cs="Courier New"/>
          <w:b/>
          <w:szCs w:val="24"/>
        </w:rPr>
        <w:t>A.</w:t>
      </w:r>
      <w:r w:rsidRPr="00984E60">
        <w:rPr>
          <w:rFonts w:ascii="Courier New" w:hAnsi="Courier New" w:cs="Courier New"/>
          <w:b/>
          <w:szCs w:val="24"/>
        </w:rPr>
        <w:tab/>
      </w:r>
      <w:r w:rsidRPr="00984E60">
        <w:rPr>
          <w:rFonts w:ascii="Courier New" w:hAnsi="Courier New" w:cs="Courier New"/>
          <w:b/>
          <w:szCs w:val="24"/>
          <w:u w:val="single"/>
        </w:rPr>
        <w:t>Revenue Sharing</w:t>
      </w:r>
      <w:r w:rsidRPr="00984E60">
        <w:rPr>
          <w:rFonts w:ascii="Courier New" w:hAnsi="Courier New" w:cs="Courier New"/>
          <w:b/>
          <w:szCs w:val="24"/>
        </w:rPr>
        <w:t>.</w:t>
      </w:r>
    </w:p>
    <w:p w14:paraId="64E86A26" w14:textId="77777777" w:rsidR="00D64B0D" w:rsidRPr="00984E60" w:rsidRDefault="00D64B0D" w:rsidP="00D64B0D">
      <w:pPr>
        <w:pStyle w:val="Testimony"/>
        <w:widowControl/>
        <w:tabs>
          <w:tab w:val="clear" w:pos="2160"/>
          <w:tab w:val="left" w:pos="1980"/>
        </w:tabs>
        <w:spacing w:line="456" w:lineRule="auto"/>
        <w:rPr>
          <w:rFonts w:ascii="Courier New" w:hAnsi="Courier New" w:cs="Courier New"/>
          <w:szCs w:val="24"/>
        </w:rPr>
      </w:pPr>
      <w:r w:rsidRPr="00984E60">
        <w:rPr>
          <w:rFonts w:ascii="Courier New" w:hAnsi="Courier New" w:cs="Courier New"/>
          <w:szCs w:val="24"/>
        </w:rPr>
        <w:t>Q.</w:t>
      </w:r>
      <w:r w:rsidRPr="00984E60">
        <w:rPr>
          <w:rFonts w:ascii="Courier New" w:hAnsi="Courier New" w:cs="Courier New"/>
          <w:szCs w:val="24"/>
        </w:rPr>
        <w:tab/>
        <w:t>When was the revenue sharing mechanism originally established?</w:t>
      </w:r>
    </w:p>
    <w:p w14:paraId="433D0D58" w14:textId="77777777" w:rsidR="00D64B0D" w:rsidRPr="00984E60" w:rsidRDefault="00D64B0D" w:rsidP="00D64B0D">
      <w:pPr>
        <w:pStyle w:val="Testimony"/>
        <w:widowControl/>
        <w:tabs>
          <w:tab w:val="clear" w:pos="2160"/>
          <w:tab w:val="left" w:pos="1980"/>
        </w:tabs>
        <w:spacing w:line="456" w:lineRule="auto"/>
        <w:rPr>
          <w:rFonts w:ascii="Courier New" w:hAnsi="Courier New" w:cs="Courier New"/>
          <w:szCs w:val="24"/>
        </w:rPr>
      </w:pPr>
      <w:r w:rsidRPr="00984E60">
        <w:rPr>
          <w:rFonts w:ascii="Courier New" w:hAnsi="Courier New" w:cs="Courier New"/>
          <w:szCs w:val="24"/>
        </w:rPr>
        <w:t>A.</w:t>
      </w:r>
      <w:r w:rsidRPr="00984E60">
        <w:rPr>
          <w:rFonts w:ascii="Courier New" w:hAnsi="Courier New" w:cs="Courier New"/>
          <w:szCs w:val="24"/>
        </w:rPr>
        <w:tab/>
        <w:t xml:space="preserve">The revenue sharing mechanism was originally established in Case No. IPC-E-09-30 and approved in Order No. 30978, effective for the years 2009-2011.  </w:t>
      </w:r>
      <w:r w:rsidR="00682095">
        <w:rPr>
          <w:rFonts w:ascii="Courier New" w:hAnsi="Courier New" w:cs="Courier New"/>
          <w:szCs w:val="24"/>
        </w:rPr>
        <w:t xml:space="preserve">Since then, the revenue sharing mechanism has been modified and </w:t>
      </w:r>
      <w:r w:rsidR="00682095">
        <w:rPr>
          <w:rFonts w:ascii="Courier New" w:hAnsi="Courier New" w:cs="Courier New"/>
          <w:szCs w:val="24"/>
        </w:rPr>
        <w:lastRenderedPageBreak/>
        <w:t>extended three times.</w:t>
      </w:r>
      <w:r w:rsidR="00682095">
        <w:rPr>
          <w:rStyle w:val="FootnoteReference"/>
          <w:rFonts w:ascii="Courier New" w:hAnsi="Courier New"/>
          <w:szCs w:val="24"/>
        </w:rPr>
        <w:footnoteReference w:id="5"/>
      </w:r>
      <w:r w:rsidR="00682095">
        <w:rPr>
          <w:rFonts w:ascii="Courier New" w:hAnsi="Courier New" w:cs="Courier New"/>
          <w:szCs w:val="24"/>
        </w:rPr>
        <w:t xml:space="preserve"> Most recently, the </w:t>
      </w:r>
      <w:r w:rsidR="006B2D32">
        <w:rPr>
          <w:rFonts w:ascii="Courier New" w:hAnsi="Courier New" w:cs="Courier New"/>
          <w:szCs w:val="24"/>
        </w:rPr>
        <w:t xml:space="preserve">revenue sharing mechanism was extended indefinitely, with modifications, in Order No. 34071 in Case No. GNR-U-18-01. </w:t>
      </w:r>
    </w:p>
    <w:p w14:paraId="1835C522" w14:textId="77777777" w:rsidR="00D64B0D" w:rsidRPr="00984E60" w:rsidRDefault="00D64B0D" w:rsidP="00D64B0D">
      <w:pPr>
        <w:pStyle w:val="Testimony"/>
        <w:widowControl/>
        <w:tabs>
          <w:tab w:val="clear" w:pos="2160"/>
          <w:tab w:val="left" w:pos="1980"/>
        </w:tabs>
        <w:spacing w:line="456" w:lineRule="auto"/>
        <w:rPr>
          <w:rFonts w:ascii="Courier New" w:hAnsi="Courier New" w:cs="Courier New"/>
          <w:szCs w:val="24"/>
        </w:rPr>
      </w:pPr>
      <w:r w:rsidRPr="00984E60">
        <w:rPr>
          <w:rFonts w:ascii="Courier New" w:hAnsi="Courier New" w:cs="Courier New"/>
          <w:szCs w:val="24"/>
        </w:rPr>
        <w:t>Q.</w:t>
      </w:r>
      <w:r w:rsidRPr="00984E60">
        <w:rPr>
          <w:rFonts w:ascii="Courier New" w:hAnsi="Courier New" w:cs="Courier New"/>
          <w:szCs w:val="24"/>
        </w:rPr>
        <w:tab/>
        <w:t>What are the provisions of the current revenue sharing mechanism?</w:t>
      </w:r>
    </w:p>
    <w:p w14:paraId="61D86CDC" w14:textId="77777777" w:rsidR="00D64B0D" w:rsidRPr="00984E60" w:rsidRDefault="00D64B0D" w:rsidP="00D64B0D">
      <w:pPr>
        <w:pStyle w:val="Testimony"/>
        <w:widowControl/>
        <w:tabs>
          <w:tab w:val="clear" w:pos="2160"/>
          <w:tab w:val="left" w:pos="1980"/>
        </w:tabs>
        <w:spacing w:line="456" w:lineRule="auto"/>
        <w:rPr>
          <w:rFonts w:ascii="Courier New" w:hAnsi="Courier New" w:cs="Courier New"/>
          <w:szCs w:val="24"/>
        </w:rPr>
      </w:pPr>
      <w:r w:rsidRPr="00984E60">
        <w:rPr>
          <w:rFonts w:ascii="Courier New" w:hAnsi="Courier New" w:cs="Courier New"/>
          <w:szCs w:val="24"/>
        </w:rPr>
        <w:t>A.</w:t>
      </w:r>
      <w:r w:rsidRPr="00984E60">
        <w:rPr>
          <w:rFonts w:ascii="Courier New" w:hAnsi="Courier New" w:cs="Courier New"/>
          <w:szCs w:val="24"/>
        </w:rPr>
        <w:tab/>
        <w:t xml:space="preserve">In Case No. </w:t>
      </w:r>
      <w:r w:rsidR="006B2D32">
        <w:rPr>
          <w:rFonts w:ascii="Courier New" w:hAnsi="Courier New" w:cs="Courier New"/>
          <w:szCs w:val="24"/>
        </w:rPr>
        <w:t>GNR-U-18-01</w:t>
      </w:r>
      <w:r w:rsidRPr="00984E60">
        <w:rPr>
          <w:rFonts w:ascii="Courier New" w:hAnsi="Courier New" w:cs="Courier New"/>
          <w:szCs w:val="24"/>
        </w:rPr>
        <w:t>, the Company filed a motion to approve a settlement stipulation (“201</w:t>
      </w:r>
      <w:r w:rsidR="001B3070">
        <w:rPr>
          <w:rFonts w:ascii="Courier New" w:hAnsi="Courier New" w:cs="Courier New"/>
          <w:szCs w:val="24"/>
        </w:rPr>
        <w:t>8</w:t>
      </w:r>
      <w:r w:rsidRPr="00984E60">
        <w:rPr>
          <w:rFonts w:ascii="Courier New" w:hAnsi="Courier New" w:cs="Courier New"/>
          <w:szCs w:val="24"/>
        </w:rPr>
        <w:t xml:space="preserve"> Stipulation”) extending the sharing mechanism</w:t>
      </w:r>
      <w:r w:rsidR="001B3070">
        <w:rPr>
          <w:rFonts w:ascii="Courier New" w:hAnsi="Courier New" w:cs="Courier New"/>
          <w:szCs w:val="24"/>
        </w:rPr>
        <w:t xml:space="preserve"> indefinitely</w:t>
      </w:r>
      <w:r w:rsidRPr="00984E60">
        <w:rPr>
          <w:rFonts w:ascii="Courier New" w:hAnsi="Courier New" w:cs="Courier New"/>
          <w:szCs w:val="24"/>
        </w:rPr>
        <w:t>, with modifications.  The Commission approved the 201</w:t>
      </w:r>
      <w:r w:rsidR="001B3070">
        <w:rPr>
          <w:rFonts w:ascii="Courier New" w:hAnsi="Courier New" w:cs="Courier New"/>
          <w:szCs w:val="24"/>
        </w:rPr>
        <w:t>8</w:t>
      </w:r>
      <w:r w:rsidRPr="00984E60">
        <w:rPr>
          <w:rFonts w:ascii="Courier New" w:hAnsi="Courier New" w:cs="Courier New"/>
          <w:szCs w:val="24"/>
        </w:rPr>
        <w:t xml:space="preserve"> Stipulation in Order No. 3</w:t>
      </w:r>
      <w:r w:rsidR="001B3070">
        <w:rPr>
          <w:rFonts w:ascii="Courier New" w:hAnsi="Courier New" w:cs="Courier New"/>
          <w:szCs w:val="24"/>
        </w:rPr>
        <w:t>4071</w:t>
      </w:r>
      <w:r w:rsidRPr="00984E60">
        <w:rPr>
          <w:rFonts w:ascii="Courier New" w:hAnsi="Courier New" w:cs="Courier New"/>
          <w:szCs w:val="24"/>
        </w:rPr>
        <w:t xml:space="preserve">. </w:t>
      </w:r>
    </w:p>
    <w:p w14:paraId="46D52703" w14:textId="77777777" w:rsidR="00D64B0D" w:rsidRPr="00984E60" w:rsidRDefault="00D64B0D" w:rsidP="00D64B0D">
      <w:pPr>
        <w:pStyle w:val="Testimony"/>
        <w:widowControl/>
        <w:tabs>
          <w:tab w:val="clear" w:pos="2160"/>
          <w:tab w:val="left" w:pos="1980"/>
        </w:tabs>
        <w:spacing w:line="456" w:lineRule="auto"/>
        <w:rPr>
          <w:rFonts w:ascii="Courier New" w:hAnsi="Courier New" w:cs="Courier New"/>
          <w:szCs w:val="24"/>
        </w:rPr>
      </w:pPr>
      <w:r w:rsidRPr="00984E60">
        <w:rPr>
          <w:rFonts w:ascii="Courier New" w:hAnsi="Courier New" w:cs="Courier New"/>
          <w:szCs w:val="24"/>
        </w:rPr>
        <w:t>Per the terms of the 201</w:t>
      </w:r>
      <w:r w:rsidR="006B2D32">
        <w:rPr>
          <w:rFonts w:ascii="Courier New" w:hAnsi="Courier New" w:cs="Courier New"/>
          <w:szCs w:val="24"/>
        </w:rPr>
        <w:t>8</w:t>
      </w:r>
      <w:r w:rsidRPr="00984E60">
        <w:rPr>
          <w:rFonts w:ascii="Courier New" w:hAnsi="Courier New" w:cs="Courier New"/>
          <w:szCs w:val="24"/>
        </w:rPr>
        <w:t xml:space="preserve"> Stipulation, if the Company’s actual year-end Return on Equity (“ROE”) for the Idaho jurisdiction exceeds 10 percent, all amounts up to and including a 10.5 percent ROE will be shared between customers and the Company on a</w:t>
      </w:r>
      <w:r w:rsidR="006B2D32">
        <w:rPr>
          <w:rFonts w:ascii="Courier New" w:hAnsi="Courier New" w:cs="Courier New"/>
          <w:szCs w:val="24"/>
        </w:rPr>
        <w:t>n 80</w:t>
      </w:r>
      <w:r w:rsidRPr="00984E60">
        <w:rPr>
          <w:rFonts w:ascii="Courier New" w:hAnsi="Courier New" w:cs="Courier New"/>
          <w:szCs w:val="24"/>
        </w:rPr>
        <w:t xml:space="preserve"> percent and 2</w:t>
      </w:r>
      <w:r w:rsidR="006B2D32">
        <w:rPr>
          <w:rFonts w:ascii="Courier New" w:hAnsi="Courier New" w:cs="Courier New"/>
          <w:szCs w:val="24"/>
        </w:rPr>
        <w:t>0</w:t>
      </w:r>
      <w:r w:rsidRPr="00984E60">
        <w:rPr>
          <w:rFonts w:ascii="Courier New" w:hAnsi="Courier New" w:cs="Courier New"/>
          <w:szCs w:val="24"/>
        </w:rPr>
        <w:t xml:space="preserve"> percent basis, respectively, to be provided as a rate reduction to become effective at the time of the subsequent year’s PCA. If the Company’s Idaho jurisdictional ROE exceeds 10.5 percent, all amounts in excess of 10.5 percent will be shared 5</w:t>
      </w:r>
      <w:r w:rsidR="006B2D32">
        <w:rPr>
          <w:rFonts w:ascii="Courier New" w:hAnsi="Courier New" w:cs="Courier New"/>
          <w:szCs w:val="24"/>
        </w:rPr>
        <w:t>5</w:t>
      </w:r>
      <w:r w:rsidRPr="00984E60">
        <w:rPr>
          <w:rFonts w:ascii="Courier New" w:hAnsi="Courier New" w:cs="Courier New"/>
          <w:szCs w:val="24"/>
        </w:rPr>
        <w:t xml:space="preserve"> percent with Idaho customers as a rate reduction to become effective with the subsequent year’s PCA, 25 percent will be shared with Idaho customers in the form of an offset to amounts in the Company’s pension balancing account, and 2</w:t>
      </w:r>
      <w:r w:rsidR="006B2D32">
        <w:rPr>
          <w:rFonts w:ascii="Courier New" w:hAnsi="Courier New" w:cs="Courier New"/>
          <w:szCs w:val="24"/>
        </w:rPr>
        <w:t>0</w:t>
      </w:r>
      <w:r w:rsidRPr="00984E60">
        <w:rPr>
          <w:rFonts w:ascii="Courier New" w:hAnsi="Courier New" w:cs="Courier New"/>
          <w:szCs w:val="24"/>
        </w:rPr>
        <w:t xml:space="preserve"> percent will be apportioned to the Company. </w:t>
      </w:r>
    </w:p>
    <w:p w14:paraId="7A4677ED" w14:textId="04CE1904" w:rsidR="00D64B0D" w:rsidRPr="00984E60" w:rsidRDefault="00D64B0D" w:rsidP="00D64B0D">
      <w:pPr>
        <w:pStyle w:val="Testimony"/>
        <w:widowControl/>
        <w:tabs>
          <w:tab w:val="clear" w:pos="2160"/>
          <w:tab w:val="left" w:pos="1980"/>
        </w:tabs>
        <w:spacing w:line="456" w:lineRule="auto"/>
        <w:rPr>
          <w:rFonts w:ascii="Courier New" w:hAnsi="Courier New" w:cs="Courier New"/>
          <w:szCs w:val="24"/>
        </w:rPr>
      </w:pPr>
      <w:r w:rsidRPr="00984E60">
        <w:rPr>
          <w:rFonts w:ascii="Courier New" w:hAnsi="Courier New" w:cs="Courier New"/>
          <w:szCs w:val="24"/>
        </w:rPr>
        <w:lastRenderedPageBreak/>
        <w:t>With regard to the amortization of Accumulated Deferred Investment Tax Credits (“ADITC”), the 201</w:t>
      </w:r>
      <w:r w:rsidR="001B3070">
        <w:rPr>
          <w:rFonts w:ascii="Courier New" w:hAnsi="Courier New" w:cs="Courier New"/>
          <w:szCs w:val="24"/>
        </w:rPr>
        <w:t>8</w:t>
      </w:r>
      <w:r w:rsidRPr="00984E60">
        <w:rPr>
          <w:rFonts w:ascii="Courier New" w:hAnsi="Courier New" w:cs="Courier New"/>
          <w:szCs w:val="24"/>
        </w:rPr>
        <w:t xml:space="preserve"> Stipulation allows the Company to accelerate the amortization of ADITC</w:t>
      </w:r>
      <w:r w:rsidR="00212857">
        <w:rPr>
          <w:rFonts w:ascii="Courier New" w:hAnsi="Courier New" w:cs="Courier New"/>
          <w:szCs w:val="24"/>
        </w:rPr>
        <w:t>, in an amount up to $45 million,</w:t>
      </w:r>
      <w:r w:rsidRPr="00984E60">
        <w:rPr>
          <w:rFonts w:ascii="Courier New" w:hAnsi="Courier New" w:cs="Courier New"/>
          <w:szCs w:val="24"/>
        </w:rPr>
        <w:t xml:space="preserve"> to achieve a maximum 9.</w:t>
      </w:r>
      <w:r w:rsidR="001B3070">
        <w:rPr>
          <w:rFonts w:ascii="Courier New" w:hAnsi="Courier New" w:cs="Courier New"/>
          <w:szCs w:val="24"/>
        </w:rPr>
        <w:t>4</w:t>
      </w:r>
      <w:r w:rsidRPr="00984E60">
        <w:rPr>
          <w:rFonts w:ascii="Courier New" w:hAnsi="Courier New" w:cs="Courier New"/>
          <w:szCs w:val="24"/>
        </w:rPr>
        <w:t xml:space="preserve"> percent Idaho jurisdictional ROE if the Company’s year-end actual results fall below that amoun</w:t>
      </w:r>
      <w:r w:rsidR="001B3070">
        <w:rPr>
          <w:rFonts w:ascii="Courier New" w:hAnsi="Courier New" w:cs="Courier New"/>
          <w:szCs w:val="24"/>
        </w:rPr>
        <w:t>t for any year beginning January 1, 2020</w:t>
      </w:r>
      <w:r w:rsidRPr="00984E60">
        <w:rPr>
          <w:rFonts w:ascii="Courier New" w:hAnsi="Courier New" w:cs="Courier New"/>
          <w:szCs w:val="24"/>
        </w:rPr>
        <w:t xml:space="preserve">.  </w:t>
      </w:r>
      <w:r w:rsidR="00212857">
        <w:rPr>
          <w:rFonts w:ascii="Courier New" w:hAnsi="Courier New" w:cs="Courier New"/>
          <w:szCs w:val="24"/>
        </w:rPr>
        <w:t>Idaho Power may use up to</w:t>
      </w:r>
      <w:r w:rsidR="000C253B">
        <w:rPr>
          <w:rFonts w:ascii="Courier New" w:hAnsi="Courier New" w:cs="Courier New"/>
          <w:szCs w:val="24"/>
        </w:rPr>
        <w:t xml:space="preserve"> </w:t>
      </w:r>
      <w:r w:rsidR="00212857">
        <w:rPr>
          <w:rFonts w:ascii="Courier New" w:hAnsi="Courier New" w:cs="Courier New"/>
          <w:szCs w:val="24"/>
        </w:rPr>
        <w:t>$25 million of additional amortization of ADITC per year</w:t>
      </w:r>
      <w:r w:rsidR="000C253B">
        <w:rPr>
          <w:rFonts w:ascii="Courier New" w:hAnsi="Courier New" w:cs="Courier New"/>
          <w:szCs w:val="24"/>
        </w:rPr>
        <w:t>, provided</w:t>
      </w:r>
      <w:r w:rsidR="00212857">
        <w:rPr>
          <w:rFonts w:ascii="Courier New" w:hAnsi="Courier New" w:cs="Courier New"/>
          <w:szCs w:val="24"/>
        </w:rPr>
        <w:t xml:space="preserve"> the total, </w:t>
      </w:r>
      <w:r w:rsidRPr="00984E60">
        <w:rPr>
          <w:rFonts w:ascii="Courier New" w:hAnsi="Courier New" w:cs="Courier New"/>
          <w:szCs w:val="24"/>
        </w:rPr>
        <w:t xml:space="preserve">cumulative </w:t>
      </w:r>
      <w:r w:rsidR="00212857">
        <w:rPr>
          <w:rFonts w:ascii="Courier New" w:hAnsi="Courier New" w:cs="Courier New"/>
          <w:szCs w:val="24"/>
        </w:rPr>
        <w:t xml:space="preserve">amount </w:t>
      </w:r>
      <w:r w:rsidRPr="00984E60">
        <w:rPr>
          <w:rFonts w:ascii="Courier New" w:hAnsi="Courier New" w:cs="Courier New"/>
          <w:szCs w:val="24"/>
        </w:rPr>
        <w:t xml:space="preserve">of ADITC </w:t>
      </w:r>
      <w:r w:rsidR="00212857">
        <w:rPr>
          <w:rFonts w:ascii="Courier New" w:hAnsi="Courier New" w:cs="Courier New"/>
          <w:szCs w:val="24"/>
        </w:rPr>
        <w:t>does not exceed $45</w:t>
      </w:r>
      <w:r w:rsidRPr="00984E60">
        <w:rPr>
          <w:rFonts w:ascii="Courier New" w:hAnsi="Courier New" w:cs="Courier New"/>
          <w:szCs w:val="24"/>
        </w:rPr>
        <w:t xml:space="preserve"> million</w:t>
      </w:r>
      <w:r w:rsidR="00212857">
        <w:rPr>
          <w:rFonts w:ascii="Courier New" w:hAnsi="Courier New" w:cs="Courier New"/>
          <w:szCs w:val="24"/>
        </w:rPr>
        <w:t>. Per the 2018 Stipulation, once the Company has fully amortized the $45 million of ADITC, revenue sharing will cease; however, Idaho Power may at any time request to replenish the total amount of ADITC it is permitted to amortize, and if approve</w:t>
      </w:r>
      <w:r w:rsidR="005C2A29">
        <w:rPr>
          <w:rFonts w:ascii="Courier New" w:hAnsi="Courier New" w:cs="Courier New"/>
          <w:szCs w:val="24"/>
        </w:rPr>
        <w:t>d</w:t>
      </w:r>
      <w:r w:rsidR="00212857">
        <w:rPr>
          <w:rFonts w:ascii="Courier New" w:hAnsi="Courier New" w:cs="Courier New"/>
          <w:szCs w:val="24"/>
        </w:rPr>
        <w:t xml:space="preserve"> by the Commission, revenue sharing would continue.</w:t>
      </w:r>
      <w:r w:rsidRPr="00984E60">
        <w:rPr>
          <w:rFonts w:ascii="Courier New" w:hAnsi="Courier New" w:cs="Courier New"/>
          <w:szCs w:val="24"/>
        </w:rPr>
        <w:t xml:space="preserve"> </w:t>
      </w:r>
    </w:p>
    <w:p w14:paraId="7C73B721" w14:textId="4EB59660" w:rsidR="00D64B0D" w:rsidRPr="00984E60" w:rsidRDefault="00D64B0D" w:rsidP="00D64B0D">
      <w:pPr>
        <w:pStyle w:val="Testimony"/>
        <w:widowControl/>
        <w:tabs>
          <w:tab w:val="clear" w:pos="2160"/>
          <w:tab w:val="left" w:pos="1980"/>
        </w:tabs>
        <w:spacing w:line="456" w:lineRule="auto"/>
        <w:rPr>
          <w:rFonts w:ascii="Courier New" w:hAnsi="Courier New" w:cs="Courier New"/>
          <w:szCs w:val="24"/>
        </w:rPr>
      </w:pPr>
      <w:r w:rsidRPr="00984E60">
        <w:rPr>
          <w:rFonts w:ascii="Courier New" w:hAnsi="Courier New" w:cs="Courier New"/>
          <w:szCs w:val="24"/>
        </w:rPr>
        <w:t>Q.</w:t>
      </w:r>
      <w:r w:rsidRPr="00984E60">
        <w:rPr>
          <w:rFonts w:ascii="Courier New" w:hAnsi="Courier New" w:cs="Courier New"/>
          <w:szCs w:val="24"/>
        </w:rPr>
        <w:tab/>
      </w:r>
      <w:r w:rsidR="003F0F39">
        <w:rPr>
          <w:rFonts w:ascii="Courier New" w:hAnsi="Courier New" w:cs="Courier New"/>
          <w:szCs w:val="24"/>
        </w:rPr>
        <w:t xml:space="preserve">What have been the results of </w:t>
      </w:r>
      <w:r w:rsidR="003F0F39" w:rsidRPr="00984E60">
        <w:rPr>
          <w:rFonts w:ascii="Courier New" w:hAnsi="Courier New" w:cs="Courier New"/>
          <w:szCs w:val="24"/>
        </w:rPr>
        <w:t xml:space="preserve">the revenue sharing mechanism </w:t>
      </w:r>
      <w:r w:rsidR="003F0F39">
        <w:rPr>
          <w:rFonts w:ascii="Courier New" w:hAnsi="Courier New" w:cs="Courier New"/>
          <w:szCs w:val="24"/>
        </w:rPr>
        <w:t>since it was implemented through 2021</w:t>
      </w:r>
      <w:r w:rsidR="003F0F39" w:rsidRPr="00984E60">
        <w:rPr>
          <w:rFonts w:ascii="Courier New" w:hAnsi="Courier New" w:cs="Courier New"/>
          <w:szCs w:val="24"/>
        </w:rPr>
        <w:t>?</w:t>
      </w:r>
    </w:p>
    <w:p w14:paraId="7E456CE3" w14:textId="29AFFED5" w:rsidR="00D64B0D" w:rsidRPr="00984E60" w:rsidRDefault="00D64B0D" w:rsidP="00D64B0D">
      <w:pPr>
        <w:pStyle w:val="Testimony"/>
        <w:widowControl/>
        <w:tabs>
          <w:tab w:val="clear" w:pos="2160"/>
          <w:tab w:val="left" w:pos="1980"/>
        </w:tabs>
        <w:spacing w:line="456" w:lineRule="auto"/>
        <w:rPr>
          <w:rFonts w:ascii="Courier New" w:hAnsi="Courier New" w:cs="Courier New"/>
          <w:szCs w:val="24"/>
        </w:rPr>
      </w:pPr>
      <w:r w:rsidRPr="00984E60">
        <w:rPr>
          <w:rFonts w:ascii="Courier New" w:hAnsi="Courier New" w:cs="Courier New"/>
          <w:szCs w:val="24"/>
        </w:rPr>
        <w:t>A.</w:t>
      </w:r>
      <w:r w:rsidRPr="00984E60">
        <w:rPr>
          <w:rFonts w:ascii="Courier New" w:hAnsi="Courier New" w:cs="Courier New"/>
          <w:szCs w:val="24"/>
        </w:rPr>
        <w:tab/>
        <w:t>The Company’s earnings in each year from 2011 through 2015, as well as 2018</w:t>
      </w:r>
      <w:r w:rsidR="00560090">
        <w:rPr>
          <w:rFonts w:ascii="Courier New" w:hAnsi="Courier New" w:cs="Courier New"/>
          <w:szCs w:val="24"/>
        </w:rPr>
        <w:t xml:space="preserve"> and 2021</w:t>
      </w:r>
      <w:r w:rsidRPr="00984E60">
        <w:rPr>
          <w:rFonts w:ascii="Courier New" w:hAnsi="Courier New" w:cs="Courier New"/>
          <w:szCs w:val="24"/>
        </w:rPr>
        <w:t>, resulted in revenue sharing with customers totaling $12</w:t>
      </w:r>
      <w:r>
        <w:rPr>
          <w:rFonts w:ascii="Courier New" w:hAnsi="Courier New" w:cs="Courier New"/>
          <w:szCs w:val="24"/>
        </w:rPr>
        <w:t>6</w:t>
      </w:r>
      <w:r w:rsidRPr="00984E60">
        <w:rPr>
          <w:rFonts w:ascii="Courier New" w:hAnsi="Courier New" w:cs="Courier New"/>
          <w:szCs w:val="24"/>
        </w:rPr>
        <w:t>.</w:t>
      </w:r>
      <w:r w:rsidR="00560090">
        <w:rPr>
          <w:rFonts w:ascii="Courier New" w:hAnsi="Courier New" w:cs="Courier New"/>
          <w:szCs w:val="24"/>
        </w:rPr>
        <w:t>7</w:t>
      </w:r>
      <w:r w:rsidRPr="00984E60">
        <w:rPr>
          <w:rFonts w:ascii="Courier New" w:hAnsi="Courier New" w:cs="Courier New"/>
          <w:szCs w:val="24"/>
        </w:rPr>
        <w:t xml:space="preserve"> million, either as a direct rate offset in the PCA or as an offset to amounts that would have otherwise been collected in rates.  The Company’s earnings in 2016</w:t>
      </w:r>
      <w:r w:rsidR="00212857">
        <w:rPr>
          <w:rFonts w:ascii="Courier New" w:hAnsi="Courier New" w:cs="Courier New"/>
          <w:szCs w:val="24"/>
        </w:rPr>
        <w:t xml:space="preserve">, </w:t>
      </w:r>
      <w:r w:rsidRPr="00984E60">
        <w:rPr>
          <w:rFonts w:ascii="Courier New" w:hAnsi="Courier New" w:cs="Courier New"/>
          <w:szCs w:val="24"/>
        </w:rPr>
        <w:t>2017</w:t>
      </w:r>
      <w:r w:rsidR="002E34A4">
        <w:rPr>
          <w:rFonts w:ascii="Courier New" w:hAnsi="Courier New" w:cs="Courier New"/>
          <w:szCs w:val="24"/>
        </w:rPr>
        <w:t>,</w:t>
      </w:r>
      <w:r w:rsidR="00212857">
        <w:rPr>
          <w:rFonts w:ascii="Courier New" w:hAnsi="Courier New" w:cs="Courier New"/>
          <w:szCs w:val="24"/>
        </w:rPr>
        <w:t xml:space="preserve"> 2019</w:t>
      </w:r>
      <w:r w:rsidR="002E34A4">
        <w:rPr>
          <w:rFonts w:ascii="Courier New" w:hAnsi="Courier New" w:cs="Courier New"/>
          <w:szCs w:val="24"/>
        </w:rPr>
        <w:t>, and 2020</w:t>
      </w:r>
      <w:r w:rsidRPr="00984E60">
        <w:rPr>
          <w:rFonts w:ascii="Courier New" w:hAnsi="Courier New" w:cs="Courier New"/>
          <w:szCs w:val="24"/>
        </w:rPr>
        <w:t xml:space="preserve"> were below the revenue sharing threshold.  These amounts are detailed in Table </w:t>
      </w:r>
      <w:r w:rsidR="00EA5339">
        <w:rPr>
          <w:rFonts w:ascii="Courier New" w:hAnsi="Courier New" w:cs="Courier New"/>
          <w:szCs w:val="24"/>
        </w:rPr>
        <w:t>6</w:t>
      </w:r>
      <w:r w:rsidRPr="00984E60">
        <w:rPr>
          <w:rFonts w:ascii="Courier New" w:hAnsi="Courier New" w:cs="Courier New"/>
          <w:szCs w:val="24"/>
        </w:rPr>
        <w:t xml:space="preserve"> below.</w:t>
      </w:r>
    </w:p>
    <w:tbl>
      <w:tblPr>
        <w:tblW w:w="10340" w:type="dxa"/>
        <w:jc w:val="center"/>
        <w:tblLook w:val="04A0" w:firstRow="1" w:lastRow="0" w:firstColumn="1" w:lastColumn="0" w:noHBand="0" w:noVBand="1"/>
      </w:tblPr>
      <w:tblGrid>
        <w:gridCol w:w="671"/>
        <w:gridCol w:w="3639"/>
        <w:gridCol w:w="1170"/>
        <w:gridCol w:w="1170"/>
        <w:gridCol w:w="1170"/>
        <w:gridCol w:w="1260"/>
        <w:gridCol w:w="1260"/>
      </w:tblGrid>
      <w:tr w:rsidR="00253FD9" w:rsidRPr="00253FD9" w14:paraId="089FF0A8" w14:textId="77777777" w:rsidTr="00963792">
        <w:trPr>
          <w:trHeight w:val="315"/>
          <w:jc w:val="center"/>
        </w:trPr>
        <w:tc>
          <w:tcPr>
            <w:tcW w:w="671" w:type="dxa"/>
            <w:tcBorders>
              <w:top w:val="single" w:sz="8" w:space="0" w:color="auto"/>
              <w:left w:val="single" w:sz="8" w:space="0" w:color="auto"/>
              <w:bottom w:val="single" w:sz="8" w:space="0" w:color="auto"/>
              <w:right w:val="nil"/>
            </w:tcBorders>
            <w:shd w:val="clear" w:color="auto" w:fill="auto"/>
            <w:noWrap/>
            <w:vAlign w:val="bottom"/>
            <w:hideMark/>
          </w:tcPr>
          <w:p w14:paraId="21D25B6D" w14:textId="77777777" w:rsidR="00253FD9" w:rsidRPr="00253FD9" w:rsidRDefault="00253FD9" w:rsidP="00253FD9">
            <w:pPr>
              <w:jc w:val="center"/>
              <w:rPr>
                <w:rFonts w:ascii="Calibri" w:hAnsi="Calibri" w:cs="Calibri"/>
                <w:b/>
                <w:bCs/>
                <w:color w:val="000000"/>
                <w:sz w:val="20"/>
              </w:rPr>
            </w:pPr>
            <w:r w:rsidRPr="00253FD9">
              <w:rPr>
                <w:rFonts w:ascii="Calibri" w:hAnsi="Calibri" w:cs="Calibri"/>
                <w:b/>
                <w:bCs/>
                <w:color w:val="000000"/>
                <w:sz w:val="20"/>
              </w:rPr>
              <w:lastRenderedPageBreak/>
              <w:t>Table 6</w:t>
            </w:r>
          </w:p>
        </w:tc>
        <w:tc>
          <w:tcPr>
            <w:tcW w:w="9669"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E0A3500" w14:textId="77777777" w:rsidR="00253FD9" w:rsidRPr="00253FD9" w:rsidRDefault="00253FD9" w:rsidP="00253FD9">
            <w:pPr>
              <w:jc w:val="center"/>
              <w:rPr>
                <w:rFonts w:ascii="Calibri" w:hAnsi="Calibri" w:cs="Calibri"/>
                <w:b/>
                <w:bCs/>
                <w:color w:val="000000"/>
                <w:sz w:val="20"/>
              </w:rPr>
            </w:pPr>
            <w:r w:rsidRPr="00253FD9">
              <w:rPr>
                <w:rFonts w:ascii="Calibri" w:hAnsi="Calibri" w:cs="Calibri"/>
                <w:b/>
                <w:bCs/>
                <w:color w:val="000000"/>
                <w:sz w:val="20"/>
              </w:rPr>
              <w:t>2009-2022 Revenue Sharing</w:t>
            </w:r>
          </w:p>
        </w:tc>
      </w:tr>
      <w:tr w:rsidR="00963792" w:rsidRPr="00253FD9" w14:paraId="39E59D2A" w14:textId="77777777" w:rsidTr="00963792">
        <w:trPr>
          <w:trHeight w:val="727"/>
          <w:jc w:val="center"/>
        </w:trPr>
        <w:tc>
          <w:tcPr>
            <w:tcW w:w="6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AE02496" w14:textId="7F089524" w:rsidR="00963792" w:rsidRPr="00253FD9" w:rsidRDefault="00963792" w:rsidP="00253FD9">
            <w:pPr>
              <w:rPr>
                <w:rFonts w:ascii="Calibri" w:hAnsi="Calibri" w:cs="Calibri"/>
                <w:b/>
                <w:bCs/>
                <w:color w:val="000000"/>
                <w:sz w:val="20"/>
              </w:rPr>
            </w:pPr>
            <w:r w:rsidRPr="00253FD9">
              <w:rPr>
                <w:rFonts w:ascii="Calibri" w:hAnsi="Calibri" w:cs="Calibri"/>
                <w:b/>
                <w:bCs/>
                <w:color w:val="000000"/>
                <w:sz w:val="20"/>
              </w:rPr>
              <w:t>Line No.</w:t>
            </w:r>
          </w:p>
        </w:tc>
        <w:tc>
          <w:tcPr>
            <w:tcW w:w="3639" w:type="dxa"/>
            <w:tcBorders>
              <w:top w:val="nil"/>
              <w:left w:val="single" w:sz="4" w:space="0" w:color="auto"/>
              <w:bottom w:val="single" w:sz="4" w:space="0" w:color="auto"/>
              <w:right w:val="nil"/>
            </w:tcBorders>
            <w:shd w:val="clear" w:color="auto" w:fill="auto"/>
            <w:noWrap/>
            <w:vAlign w:val="bottom"/>
            <w:hideMark/>
          </w:tcPr>
          <w:p w14:paraId="03E87A3E" w14:textId="074E7354" w:rsidR="00963792" w:rsidRPr="00253FD9" w:rsidRDefault="00963792" w:rsidP="00253FD9">
            <w:pPr>
              <w:rPr>
                <w:rFonts w:ascii="Calibri" w:hAnsi="Calibri" w:cs="Calibri"/>
                <w:b/>
                <w:bCs/>
                <w:color w:val="000000"/>
                <w:sz w:val="20"/>
              </w:rPr>
            </w:pPr>
            <w:r w:rsidRPr="00253FD9">
              <w:rPr>
                <w:rFonts w:ascii="Calibri" w:hAnsi="Calibri" w:cs="Calibri"/>
                <w:b/>
                <w:bCs/>
                <w:color w:val="000000"/>
                <w:sz w:val="20"/>
              </w:rPr>
              <w:t>Revenue Sharing Component</w:t>
            </w:r>
          </w:p>
        </w:tc>
        <w:tc>
          <w:tcPr>
            <w:tcW w:w="1170" w:type="dxa"/>
            <w:tcBorders>
              <w:top w:val="nil"/>
              <w:left w:val="nil"/>
              <w:bottom w:val="single" w:sz="4" w:space="0" w:color="auto"/>
              <w:right w:val="nil"/>
            </w:tcBorders>
            <w:shd w:val="clear" w:color="auto" w:fill="auto"/>
            <w:noWrap/>
            <w:vAlign w:val="bottom"/>
            <w:hideMark/>
          </w:tcPr>
          <w:p w14:paraId="08A657CC" w14:textId="67AB0AB2" w:rsidR="00963792" w:rsidRPr="00253FD9" w:rsidRDefault="00963792" w:rsidP="00253FD9">
            <w:pPr>
              <w:jc w:val="center"/>
              <w:rPr>
                <w:rFonts w:ascii="Times New Roman" w:hAnsi="Times New Roman"/>
                <w:sz w:val="20"/>
              </w:rPr>
            </w:pPr>
            <w:r w:rsidRPr="00253FD9">
              <w:rPr>
                <w:rFonts w:ascii="Calibri" w:hAnsi="Calibri" w:cs="Calibri"/>
                <w:b/>
                <w:bCs/>
                <w:color w:val="000000"/>
                <w:sz w:val="20"/>
              </w:rPr>
              <w:t>2009-2011</w:t>
            </w:r>
          </w:p>
        </w:tc>
        <w:tc>
          <w:tcPr>
            <w:tcW w:w="1170" w:type="dxa"/>
            <w:tcBorders>
              <w:top w:val="nil"/>
              <w:left w:val="nil"/>
              <w:bottom w:val="single" w:sz="4" w:space="0" w:color="auto"/>
              <w:right w:val="nil"/>
            </w:tcBorders>
            <w:shd w:val="clear" w:color="auto" w:fill="auto"/>
            <w:noWrap/>
            <w:vAlign w:val="bottom"/>
            <w:hideMark/>
          </w:tcPr>
          <w:p w14:paraId="7082D438" w14:textId="27C63CCF" w:rsidR="00963792" w:rsidRPr="00253FD9" w:rsidRDefault="00963792" w:rsidP="00253FD9">
            <w:pPr>
              <w:jc w:val="center"/>
              <w:rPr>
                <w:rFonts w:ascii="Times New Roman" w:hAnsi="Times New Roman"/>
                <w:sz w:val="20"/>
              </w:rPr>
            </w:pPr>
            <w:r w:rsidRPr="00253FD9">
              <w:rPr>
                <w:rFonts w:ascii="Calibri" w:hAnsi="Calibri" w:cs="Calibri"/>
                <w:b/>
                <w:bCs/>
                <w:color w:val="000000"/>
                <w:sz w:val="20"/>
              </w:rPr>
              <w:t>2012-2014</w:t>
            </w:r>
          </w:p>
        </w:tc>
        <w:tc>
          <w:tcPr>
            <w:tcW w:w="1170" w:type="dxa"/>
            <w:tcBorders>
              <w:top w:val="nil"/>
              <w:left w:val="nil"/>
              <w:bottom w:val="single" w:sz="4" w:space="0" w:color="auto"/>
              <w:right w:val="nil"/>
            </w:tcBorders>
            <w:shd w:val="clear" w:color="auto" w:fill="auto"/>
            <w:noWrap/>
            <w:vAlign w:val="bottom"/>
            <w:hideMark/>
          </w:tcPr>
          <w:p w14:paraId="66146180" w14:textId="7B17AB7C" w:rsidR="00963792" w:rsidRPr="00253FD9" w:rsidRDefault="00963792" w:rsidP="00253FD9">
            <w:pPr>
              <w:jc w:val="center"/>
              <w:rPr>
                <w:rFonts w:ascii="Times New Roman" w:hAnsi="Times New Roman"/>
                <w:sz w:val="20"/>
              </w:rPr>
            </w:pPr>
            <w:r w:rsidRPr="00253FD9">
              <w:rPr>
                <w:rFonts w:ascii="Calibri" w:hAnsi="Calibri" w:cs="Calibri"/>
                <w:b/>
                <w:bCs/>
                <w:color w:val="000000"/>
                <w:sz w:val="20"/>
              </w:rPr>
              <w:t>2015-2019</w:t>
            </w:r>
          </w:p>
        </w:tc>
        <w:tc>
          <w:tcPr>
            <w:tcW w:w="1260" w:type="dxa"/>
            <w:tcBorders>
              <w:top w:val="nil"/>
              <w:left w:val="nil"/>
              <w:bottom w:val="single" w:sz="4" w:space="0" w:color="auto"/>
              <w:right w:val="nil"/>
            </w:tcBorders>
            <w:shd w:val="clear" w:color="auto" w:fill="auto"/>
            <w:noWrap/>
            <w:vAlign w:val="bottom"/>
            <w:hideMark/>
          </w:tcPr>
          <w:p w14:paraId="36ED60C3" w14:textId="561AAF87" w:rsidR="00963792" w:rsidRPr="00253FD9" w:rsidRDefault="00963792" w:rsidP="00253FD9">
            <w:pPr>
              <w:jc w:val="center"/>
              <w:rPr>
                <w:rFonts w:ascii="Times New Roman" w:hAnsi="Times New Roman"/>
                <w:sz w:val="20"/>
              </w:rPr>
            </w:pPr>
            <w:r w:rsidRPr="00253FD9">
              <w:rPr>
                <w:rFonts w:ascii="Calibri" w:hAnsi="Calibri" w:cs="Calibri"/>
                <w:b/>
                <w:bCs/>
                <w:color w:val="000000"/>
                <w:sz w:val="20"/>
              </w:rPr>
              <w:t>2020-2022</w:t>
            </w:r>
          </w:p>
        </w:tc>
        <w:tc>
          <w:tcPr>
            <w:tcW w:w="1260" w:type="dxa"/>
            <w:tcBorders>
              <w:top w:val="nil"/>
              <w:left w:val="nil"/>
              <w:bottom w:val="single" w:sz="4" w:space="0" w:color="auto"/>
              <w:right w:val="single" w:sz="8" w:space="0" w:color="auto"/>
            </w:tcBorders>
            <w:shd w:val="clear" w:color="auto" w:fill="auto"/>
            <w:noWrap/>
            <w:vAlign w:val="bottom"/>
            <w:hideMark/>
          </w:tcPr>
          <w:p w14:paraId="4BA5FCF2" w14:textId="404B4403" w:rsidR="00963792" w:rsidRPr="00253FD9" w:rsidRDefault="00963792" w:rsidP="00253FD9">
            <w:pPr>
              <w:rPr>
                <w:rFonts w:ascii="Calibri" w:hAnsi="Calibri" w:cs="Calibri"/>
                <w:color w:val="000000"/>
                <w:sz w:val="20"/>
              </w:rPr>
            </w:pPr>
            <w:r w:rsidRPr="00253FD9">
              <w:rPr>
                <w:rFonts w:ascii="Calibri" w:hAnsi="Calibri" w:cs="Calibri"/>
                <w:color w:val="000000"/>
                <w:sz w:val="20"/>
              </w:rPr>
              <w:t> </w:t>
            </w:r>
          </w:p>
        </w:tc>
      </w:tr>
      <w:tr w:rsidR="00963792" w:rsidRPr="00253FD9" w14:paraId="04DA70A5" w14:textId="77777777" w:rsidTr="0009151D">
        <w:trPr>
          <w:trHeight w:val="270"/>
          <w:jc w:val="center"/>
        </w:trPr>
        <w:tc>
          <w:tcPr>
            <w:tcW w:w="671" w:type="dxa"/>
            <w:tcBorders>
              <w:top w:val="nil"/>
              <w:left w:val="single" w:sz="8" w:space="0" w:color="auto"/>
              <w:bottom w:val="nil"/>
              <w:right w:val="single" w:sz="4" w:space="0" w:color="auto"/>
            </w:tcBorders>
            <w:shd w:val="clear" w:color="auto" w:fill="auto"/>
            <w:noWrap/>
            <w:vAlign w:val="bottom"/>
            <w:hideMark/>
          </w:tcPr>
          <w:p w14:paraId="38CB3883" w14:textId="311236B4" w:rsidR="00963792" w:rsidRPr="00253FD9" w:rsidRDefault="00963792" w:rsidP="00253FD9">
            <w:pPr>
              <w:jc w:val="center"/>
              <w:rPr>
                <w:rFonts w:ascii="Calibri" w:hAnsi="Calibri" w:cs="Calibri"/>
                <w:b/>
                <w:bCs/>
                <w:color w:val="000000"/>
                <w:sz w:val="20"/>
              </w:rPr>
            </w:pPr>
            <w:r w:rsidRPr="00253FD9">
              <w:rPr>
                <w:rFonts w:ascii="Calibri" w:hAnsi="Calibri" w:cs="Calibri"/>
                <w:color w:val="000000"/>
                <w:sz w:val="20"/>
              </w:rPr>
              <w:t>1</w:t>
            </w:r>
          </w:p>
        </w:tc>
        <w:tc>
          <w:tcPr>
            <w:tcW w:w="3639" w:type="dxa"/>
            <w:tcBorders>
              <w:top w:val="nil"/>
              <w:left w:val="nil"/>
              <w:bottom w:val="nil"/>
              <w:right w:val="nil"/>
            </w:tcBorders>
            <w:shd w:val="clear" w:color="auto" w:fill="auto"/>
            <w:noWrap/>
            <w:vAlign w:val="bottom"/>
            <w:hideMark/>
          </w:tcPr>
          <w:p w14:paraId="6743D4C7" w14:textId="220758C4" w:rsidR="00963792" w:rsidRPr="00253FD9" w:rsidRDefault="00963792" w:rsidP="00253FD9">
            <w:pPr>
              <w:jc w:val="center"/>
              <w:rPr>
                <w:rFonts w:ascii="Calibri" w:hAnsi="Calibri" w:cs="Calibri"/>
                <w:b/>
                <w:bCs/>
                <w:color w:val="000000"/>
                <w:sz w:val="20"/>
              </w:rPr>
            </w:pPr>
            <w:r w:rsidRPr="00253FD9">
              <w:rPr>
                <w:rFonts w:ascii="Calibri" w:hAnsi="Calibri" w:cs="Calibri"/>
                <w:color w:val="000000"/>
                <w:sz w:val="20"/>
              </w:rPr>
              <w:t>Available ADITC For Use</w:t>
            </w:r>
          </w:p>
        </w:tc>
        <w:tc>
          <w:tcPr>
            <w:tcW w:w="1170" w:type="dxa"/>
            <w:tcBorders>
              <w:top w:val="nil"/>
              <w:left w:val="nil"/>
              <w:bottom w:val="nil"/>
              <w:right w:val="nil"/>
            </w:tcBorders>
            <w:shd w:val="clear" w:color="auto" w:fill="auto"/>
            <w:noWrap/>
            <w:vAlign w:val="bottom"/>
            <w:hideMark/>
          </w:tcPr>
          <w:p w14:paraId="3046B24E" w14:textId="084F936A" w:rsidR="00963792" w:rsidRPr="00253FD9" w:rsidRDefault="00963792" w:rsidP="00253FD9">
            <w:pPr>
              <w:jc w:val="center"/>
              <w:rPr>
                <w:rFonts w:ascii="Calibri" w:hAnsi="Calibri" w:cs="Calibri"/>
                <w:b/>
                <w:bCs/>
                <w:color w:val="000000"/>
                <w:sz w:val="20"/>
              </w:rPr>
            </w:pPr>
            <w:r w:rsidRPr="00253FD9">
              <w:rPr>
                <w:rFonts w:ascii="Calibri" w:hAnsi="Calibri" w:cs="Calibri"/>
                <w:color w:val="000000"/>
                <w:sz w:val="20"/>
              </w:rPr>
              <w:t>$45 Million</w:t>
            </w:r>
          </w:p>
        </w:tc>
        <w:tc>
          <w:tcPr>
            <w:tcW w:w="1170" w:type="dxa"/>
            <w:tcBorders>
              <w:top w:val="nil"/>
              <w:left w:val="nil"/>
              <w:bottom w:val="nil"/>
              <w:right w:val="nil"/>
            </w:tcBorders>
            <w:shd w:val="clear" w:color="auto" w:fill="auto"/>
            <w:noWrap/>
            <w:vAlign w:val="bottom"/>
            <w:hideMark/>
          </w:tcPr>
          <w:p w14:paraId="23333646" w14:textId="270D11B4" w:rsidR="00963792" w:rsidRPr="00253FD9" w:rsidRDefault="00963792" w:rsidP="00253FD9">
            <w:pPr>
              <w:jc w:val="center"/>
              <w:rPr>
                <w:rFonts w:ascii="Calibri" w:hAnsi="Calibri" w:cs="Calibri"/>
                <w:b/>
                <w:bCs/>
                <w:color w:val="000000"/>
                <w:sz w:val="20"/>
              </w:rPr>
            </w:pPr>
            <w:r w:rsidRPr="00253FD9">
              <w:rPr>
                <w:rFonts w:ascii="Calibri" w:hAnsi="Calibri" w:cs="Calibri"/>
                <w:color w:val="000000"/>
                <w:sz w:val="20"/>
              </w:rPr>
              <w:t>$45 Million</w:t>
            </w:r>
          </w:p>
        </w:tc>
        <w:tc>
          <w:tcPr>
            <w:tcW w:w="1170" w:type="dxa"/>
            <w:tcBorders>
              <w:top w:val="nil"/>
              <w:left w:val="nil"/>
              <w:bottom w:val="nil"/>
              <w:right w:val="nil"/>
            </w:tcBorders>
            <w:shd w:val="clear" w:color="auto" w:fill="auto"/>
            <w:noWrap/>
            <w:vAlign w:val="bottom"/>
            <w:hideMark/>
          </w:tcPr>
          <w:p w14:paraId="7EB5F065" w14:textId="5A846498" w:rsidR="00963792" w:rsidRPr="00253FD9" w:rsidRDefault="00963792" w:rsidP="00253FD9">
            <w:pPr>
              <w:jc w:val="center"/>
              <w:rPr>
                <w:rFonts w:ascii="Calibri" w:hAnsi="Calibri" w:cs="Calibri"/>
                <w:b/>
                <w:bCs/>
                <w:color w:val="000000"/>
                <w:sz w:val="20"/>
              </w:rPr>
            </w:pPr>
            <w:r w:rsidRPr="00253FD9">
              <w:rPr>
                <w:rFonts w:ascii="Calibri" w:hAnsi="Calibri" w:cs="Calibri"/>
                <w:color w:val="000000"/>
                <w:sz w:val="20"/>
              </w:rPr>
              <w:t>$45 Million</w:t>
            </w:r>
          </w:p>
        </w:tc>
        <w:tc>
          <w:tcPr>
            <w:tcW w:w="1260" w:type="dxa"/>
            <w:tcBorders>
              <w:top w:val="nil"/>
              <w:left w:val="nil"/>
              <w:bottom w:val="nil"/>
              <w:right w:val="nil"/>
            </w:tcBorders>
            <w:shd w:val="clear" w:color="auto" w:fill="auto"/>
            <w:noWrap/>
            <w:vAlign w:val="bottom"/>
            <w:hideMark/>
          </w:tcPr>
          <w:p w14:paraId="24D45225" w14:textId="2EFD377B" w:rsidR="00963792" w:rsidRPr="00253FD9" w:rsidRDefault="00963792" w:rsidP="00253FD9">
            <w:pPr>
              <w:jc w:val="center"/>
              <w:rPr>
                <w:rFonts w:ascii="Calibri" w:hAnsi="Calibri" w:cs="Calibri"/>
                <w:b/>
                <w:bCs/>
                <w:color w:val="000000"/>
                <w:sz w:val="20"/>
              </w:rPr>
            </w:pPr>
            <w:r w:rsidRPr="00253FD9">
              <w:rPr>
                <w:rFonts w:ascii="Calibri" w:hAnsi="Calibri" w:cs="Calibri"/>
                <w:color w:val="000000"/>
                <w:sz w:val="20"/>
              </w:rPr>
              <w:t>$45 Million</w:t>
            </w:r>
          </w:p>
        </w:tc>
        <w:tc>
          <w:tcPr>
            <w:tcW w:w="1260" w:type="dxa"/>
            <w:tcBorders>
              <w:top w:val="nil"/>
              <w:left w:val="nil"/>
              <w:bottom w:val="nil"/>
              <w:right w:val="single" w:sz="8" w:space="0" w:color="auto"/>
            </w:tcBorders>
            <w:shd w:val="clear" w:color="auto" w:fill="auto"/>
            <w:noWrap/>
            <w:vAlign w:val="bottom"/>
            <w:hideMark/>
          </w:tcPr>
          <w:p w14:paraId="00602E3C" w14:textId="78CA46A9" w:rsidR="00963792" w:rsidRPr="00253FD9" w:rsidRDefault="00963792" w:rsidP="00253FD9">
            <w:pPr>
              <w:rPr>
                <w:rFonts w:ascii="Calibri" w:hAnsi="Calibri" w:cs="Calibri"/>
                <w:color w:val="000000"/>
                <w:sz w:val="20"/>
              </w:rPr>
            </w:pPr>
            <w:r w:rsidRPr="00253FD9">
              <w:rPr>
                <w:rFonts w:ascii="Calibri" w:hAnsi="Calibri" w:cs="Calibri"/>
                <w:color w:val="000000"/>
                <w:sz w:val="20"/>
              </w:rPr>
              <w:t> </w:t>
            </w:r>
          </w:p>
        </w:tc>
      </w:tr>
      <w:tr w:rsidR="00963792" w:rsidRPr="00253FD9" w14:paraId="0DF0DDDD" w14:textId="77777777" w:rsidTr="00CC6003">
        <w:trPr>
          <w:trHeight w:val="255"/>
          <w:jc w:val="center"/>
        </w:trPr>
        <w:tc>
          <w:tcPr>
            <w:tcW w:w="671" w:type="dxa"/>
            <w:tcBorders>
              <w:top w:val="nil"/>
              <w:left w:val="single" w:sz="8" w:space="0" w:color="auto"/>
              <w:bottom w:val="nil"/>
              <w:right w:val="single" w:sz="4" w:space="0" w:color="auto"/>
            </w:tcBorders>
            <w:shd w:val="clear" w:color="auto" w:fill="auto"/>
            <w:noWrap/>
            <w:vAlign w:val="bottom"/>
            <w:hideMark/>
          </w:tcPr>
          <w:p w14:paraId="4B2009F0" w14:textId="0D48AEB2" w:rsidR="00963792" w:rsidRPr="00253FD9" w:rsidRDefault="00963792" w:rsidP="00253FD9">
            <w:pPr>
              <w:jc w:val="center"/>
              <w:rPr>
                <w:rFonts w:ascii="Calibri" w:hAnsi="Calibri" w:cs="Calibri"/>
                <w:color w:val="000000"/>
                <w:sz w:val="20"/>
              </w:rPr>
            </w:pPr>
            <w:r w:rsidRPr="00253FD9">
              <w:rPr>
                <w:rFonts w:ascii="Calibri" w:hAnsi="Calibri" w:cs="Calibri"/>
                <w:color w:val="000000"/>
                <w:sz w:val="20"/>
              </w:rPr>
              <w:t>2</w:t>
            </w:r>
          </w:p>
        </w:tc>
        <w:tc>
          <w:tcPr>
            <w:tcW w:w="3639" w:type="dxa"/>
            <w:tcBorders>
              <w:top w:val="nil"/>
              <w:left w:val="nil"/>
              <w:bottom w:val="nil"/>
              <w:right w:val="nil"/>
            </w:tcBorders>
            <w:shd w:val="clear" w:color="auto" w:fill="auto"/>
            <w:noWrap/>
            <w:vAlign w:val="bottom"/>
            <w:hideMark/>
          </w:tcPr>
          <w:p w14:paraId="272A138B" w14:textId="3B968FAE" w:rsidR="00963792" w:rsidRPr="00253FD9" w:rsidRDefault="00963792" w:rsidP="00253FD9">
            <w:pPr>
              <w:rPr>
                <w:rFonts w:ascii="Calibri" w:hAnsi="Calibri" w:cs="Calibri"/>
                <w:color w:val="000000"/>
                <w:sz w:val="20"/>
              </w:rPr>
            </w:pPr>
            <w:r w:rsidRPr="00253FD9">
              <w:rPr>
                <w:rFonts w:ascii="Calibri" w:hAnsi="Calibri" w:cs="Calibri"/>
                <w:color w:val="000000"/>
                <w:sz w:val="20"/>
              </w:rPr>
              <w:t>Customer Benefits ($ Millions):</w:t>
            </w:r>
          </w:p>
        </w:tc>
        <w:tc>
          <w:tcPr>
            <w:tcW w:w="1170" w:type="dxa"/>
            <w:tcBorders>
              <w:top w:val="nil"/>
              <w:left w:val="nil"/>
              <w:bottom w:val="nil"/>
              <w:right w:val="nil"/>
            </w:tcBorders>
            <w:shd w:val="clear" w:color="auto" w:fill="auto"/>
            <w:noWrap/>
            <w:vAlign w:val="bottom"/>
            <w:hideMark/>
          </w:tcPr>
          <w:p w14:paraId="143C768B" w14:textId="1A12E1B3" w:rsidR="00963792" w:rsidRPr="00253FD9" w:rsidRDefault="00963792" w:rsidP="00253FD9">
            <w:pPr>
              <w:jc w:val="center"/>
              <w:rPr>
                <w:rFonts w:ascii="Calibri" w:hAnsi="Calibri" w:cs="Calibri"/>
                <w:color w:val="000000"/>
                <w:sz w:val="20"/>
              </w:rPr>
            </w:pPr>
          </w:p>
        </w:tc>
        <w:tc>
          <w:tcPr>
            <w:tcW w:w="1170" w:type="dxa"/>
            <w:tcBorders>
              <w:top w:val="nil"/>
              <w:left w:val="nil"/>
              <w:bottom w:val="nil"/>
              <w:right w:val="nil"/>
            </w:tcBorders>
            <w:shd w:val="clear" w:color="auto" w:fill="auto"/>
            <w:noWrap/>
            <w:vAlign w:val="bottom"/>
            <w:hideMark/>
          </w:tcPr>
          <w:p w14:paraId="6E9C6B10" w14:textId="6169618C" w:rsidR="00963792" w:rsidRPr="00253FD9" w:rsidRDefault="00963792" w:rsidP="00253FD9">
            <w:pPr>
              <w:jc w:val="center"/>
              <w:rPr>
                <w:rFonts w:ascii="Calibri" w:hAnsi="Calibri" w:cs="Calibri"/>
                <w:color w:val="000000"/>
                <w:sz w:val="20"/>
              </w:rPr>
            </w:pPr>
          </w:p>
        </w:tc>
        <w:tc>
          <w:tcPr>
            <w:tcW w:w="1170" w:type="dxa"/>
            <w:tcBorders>
              <w:top w:val="nil"/>
              <w:left w:val="nil"/>
              <w:bottom w:val="nil"/>
              <w:right w:val="nil"/>
            </w:tcBorders>
            <w:shd w:val="clear" w:color="auto" w:fill="auto"/>
            <w:noWrap/>
            <w:vAlign w:val="bottom"/>
            <w:hideMark/>
          </w:tcPr>
          <w:p w14:paraId="01C44A57" w14:textId="22D029AD" w:rsidR="00963792" w:rsidRPr="00253FD9" w:rsidRDefault="00963792" w:rsidP="00253FD9">
            <w:pPr>
              <w:jc w:val="center"/>
              <w:rPr>
                <w:rFonts w:ascii="Calibri" w:hAnsi="Calibri" w:cs="Calibri"/>
                <w:color w:val="000000"/>
                <w:sz w:val="20"/>
              </w:rPr>
            </w:pPr>
          </w:p>
        </w:tc>
        <w:tc>
          <w:tcPr>
            <w:tcW w:w="1260" w:type="dxa"/>
            <w:tcBorders>
              <w:top w:val="nil"/>
              <w:left w:val="nil"/>
              <w:bottom w:val="nil"/>
              <w:right w:val="nil"/>
            </w:tcBorders>
            <w:shd w:val="clear" w:color="auto" w:fill="auto"/>
            <w:noWrap/>
            <w:vAlign w:val="bottom"/>
            <w:hideMark/>
          </w:tcPr>
          <w:p w14:paraId="62649317" w14:textId="26DBA851" w:rsidR="00963792" w:rsidRPr="00253FD9" w:rsidRDefault="00963792" w:rsidP="00253FD9">
            <w:pPr>
              <w:jc w:val="center"/>
              <w:rPr>
                <w:rFonts w:ascii="Calibri" w:hAnsi="Calibri" w:cs="Calibri"/>
                <w:color w:val="000000"/>
                <w:sz w:val="20"/>
              </w:rPr>
            </w:pPr>
          </w:p>
        </w:tc>
        <w:tc>
          <w:tcPr>
            <w:tcW w:w="1260" w:type="dxa"/>
            <w:tcBorders>
              <w:top w:val="nil"/>
              <w:left w:val="nil"/>
              <w:bottom w:val="nil"/>
              <w:right w:val="single" w:sz="8" w:space="0" w:color="auto"/>
            </w:tcBorders>
            <w:shd w:val="clear" w:color="auto" w:fill="auto"/>
            <w:noWrap/>
            <w:vAlign w:val="bottom"/>
            <w:hideMark/>
          </w:tcPr>
          <w:p w14:paraId="476BCEFF" w14:textId="2BFEACFC" w:rsidR="00963792" w:rsidRPr="00253FD9" w:rsidRDefault="00963792" w:rsidP="00253FD9">
            <w:pPr>
              <w:rPr>
                <w:rFonts w:ascii="Calibri" w:hAnsi="Calibri" w:cs="Calibri"/>
                <w:color w:val="000000"/>
                <w:sz w:val="20"/>
              </w:rPr>
            </w:pPr>
            <w:r w:rsidRPr="00253FD9">
              <w:rPr>
                <w:rFonts w:ascii="Calibri" w:hAnsi="Calibri" w:cs="Calibri"/>
                <w:color w:val="000000"/>
                <w:sz w:val="20"/>
              </w:rPr>
              <w:t> </w:t>
            </w:r>
          </w:p>
        </w:tc>
      </w:tr>
      <w:tr w:rsidR="00963792" w:rsidRPr="00253FD9" w14:paraId="2DD62FE8" w14:textId="77777777" w:rsidTr="0009151D">
        <w:trPr>
          <w:trHeight w:val="255"/>
          <w:jc w:val="center"/>
        </w:trPr>
        <w:tc>
          <w:tcPr>
            <w:tcW w:w="671" w:type="dxa"/>
            <w:tcBorders>
              <w:top w:val="nil"/>
              <w:left w:val="single" w:sz="8" w:space="0" w:color="auto"/>
              <w:bottom w:val="nil"/>
              <w:right w:val="single" w:sz="4" w:space="0" w:color="auto"/>
            </w:tcBorders>
            <w:shd w:val="clear" w:color="auto" w:fill="auto"/>
            <w:noWrap/>
            <w:vAlign w:val="bottom"/>
            <w:hideMark/>
          </w:tcPr>
          <w:p w14:paraId="6C7C16DD" w14:textId="5F796DC7" w:rsidR="00963792" w:rsidRPr="00253FD9" w:rsidRDefault="00963792" w:rsidP="00253FD9">
            <w:pPr>
              <w:jc w:val="center"/>
              <w:rPr>
                <w:rFonts w:ascii="Calibri" w:hAnsi="Calibri" w:cs="Calibri"/>
                <w:color w:val="000000"/>
                <w:sz w:val="20"/>
              </w:rPr>
            </w:pPr>
            <w:r w:rsidRPr="00253FD9">
              <w:rPr>
                <w:rFonts w:ascii="Calibri" w:hAnsi="Calibri" w:cs="Calibri"/>
                <w:color w:val="000000"/>
                <w:sz w:val="20"/>
              </w:rPr>
              <w:t>3</w:t>
            </w:r>
          </w:p>
        </w:tc>
        <w:tc>
          <w:tcPr>
            <w:tcW w:w="3639" w:type="dxa"/>
            <w:tcBorders>
              <w:top w:val="nil"/>
              <w:left w:val="nil"/>
              <w:bottom w:val="nil"/>
              <w:right w:val="nil"/>
            </w:tcBorders>
            <w:shd w:val="clear" w:color="auto" w:fill="auto"/>
            <w:noWrap/>
            <w:vAlign w:val="bottom"/>
            <w:hideMark/>
          </w:tcPr>
          <w:p w14:paraId="6F86033C" w14:textId="4290057C" w:rsidR="00963792" w:rsidRPr="00253FD9" w:rsidRDefault="00963792" w:rsidP="00253FD9">
            <w:pPr>
              <w:rPr>
                <w:rFonts w:ascii="Calibri" w:hAnsi="Calibri" w:cs="Calibri"/>
                <w:color w:val="000000"/>
                <w:sz w:val="20"/>
              </w:rPr>
            </w:pPr>
            <w:r w:rsidRPr="00253FD9">
              <w:rPr>
                <w:rFonts w:ascii="Calibri" w:hAnsi="Calibri" w:cs="Calibri"/>
                <w:color w:val="000000"/>
                <w:sz w:val="20"/>
              </w:rPr>
              <w:t>Reduction to Rates</w:t>
            </w:r>
          </w:p>
        </w:tc>
        <w:tc>
          <w:tcPr>
            <w:tcW w:w="1170" w:type="dxa"/>
            <w:tcBorders>
              <w:top w:val="nil"/>
              <w:left w:val="nil"/>
              <w:bottom w:val="nil"/>
              <w:right w:val="nil"/>
            </w:tcBorders>
            <w:shd w:val="clear" w:color="auto" w:fill="auto"/>
            <w:noWrap/>
            <w:vAlign w:val="bottom"/>
            <w:hideMark/>
          </w:tcPr>
          <w:p w14:paraId="033704D2" w14:textId="7124423E" w:rsidR="00963792" w:rsidRPr="00253FD9" w:rsidRDefault="00963792" w:rsidP="00963792">
            <w:pPr>
              <w:jc w:val="center"/>
              <w:rPr>
                <w:rFonts w:ascii="Calibri" w:hAnsi="Calibri" w:cs="Calibri"/>
                <w:color w:val="000000"/>
                <w:sz w:val="20"/>
              </w:rPr>
            </w:pPr>
            <w:r w:rsidRPr="00253FD9">
              <w:rPr>
                <w:rFonts w:ascii="Calibri" w:hAnsi="Calibri" w:cs="Calibri"/>
                <w:color w:val="000000"/>
                <w:sz w:val="20"/>
              </w:rPr>
              <w:t>$27.1</w:t>
            </w:r>
          </w:p>
        </w:tc>
        <w:tc>
          <w:tcPr>
            <w:tcW w:w="1170" w:type="dxa"/>
            <w:tcBorders>
              <w:top w:val="nil"/>
              <w:left w:val="nil"/>
              <w:bottom w:val="nil"/>
              <w:right w:val="nil"/>
            </w:tcBorders>
            <w:shd w:val="clear" w:color="auto" w:fill="auto"/>
            <w:noWrap/>
            <w:vAlign w:val="bottom"/>
            <w:hideMark/>
          </w:tcPr>
          <w:p w14:paraId="70C08EAE" w14:textId="6EE9D935" w:rsidR="00963792" w:rsidRPr="00253FD9" w:rsidRDefault="00963792" w:rsidP="00253FD9">
            <w:pPr>
              <w:jc w:val="center"/>
              <w:rPr>
                <w:rFonts w:ascii="Times New Roman" w:hAnsi="Times New Roman"/>
                <w:sz w:val="20"/>
              </w:rPr>
            </w:pPr>
            <w:r w:rsidRPr="00253FD9">
              <w:rPr>
                <w:rFonts w:ascii="Calibri" w:hAnsi="Calibri" w:cs="Calibri"/>
                <w:color w:val="000000"/>
                <w:sz w:val="20"/>
              </w:rPr>
              <w:t xml:space="preserve">$22.8 </w:t>
            </w:r>
          </w:p>
        </w:tc>
        <w:tc>
          <w:tcPr>
            <w:tcW w:w="1170" w:type="dxa"/>
            <w:tcBorders>
              <w:top w:val="nil"/>
              <w:left w:val="nil"/>
              <w:bottom w:val="nil"/>
              <w:right w:val="nil"/>
            </w:tcBorders>
            <w:shd w:val="clear" w:color="auto" w:fill="auto"/>
            <w:noWrap/>
            <w:vAlign w:val="bottom"/>
            <w:hideMark/>
          </w:tcPr>
          <w:p w14:paraId="262E915E" w14:textId="1C3EB839" w:rsidR="00963792" w:rsidRPr="00253FD9" w:rsidRDefault="00963792" w:rsidP="00253FD9">
            <w:pPr>
              <w:jc w:val="center"/>
              <w:rPr>
                <w:rFonts w:ascii="Times New Roman" w:hAnsi="Times New Roman"/>
                <w:sz w:val="20"/>
              </w:rPr>
            </w:pPr>
            <w:r w:rsidRPr="00253FD9">
              <w:rPr>
                <w:rFonts w:ascii="Calibri" w:hAnsi="Calibri" w:cs="Calibri"/>
                <w:color w:val="000000"/>
                <w:sz w:val="20"/>
              </w:rPr>
              <w:t xml:space="preserve">$8.2 </w:t>
            </w:r>
          </w:p>
        </w:tc>
        <w:tc>
          <w:tcPr>
            <w:tcW w:w="1260" w:type="dxa"/>
            <w:tcBorders>
              <w:top w:val="nil"/>
              <w:left w:val="nil"/>
              <w:bottom w:val="nil"/>
              <w:right w:val="nil"/>
            </w:tcBorders>
            <w:shd w:val="clear" w:color="auto" w:fill="auto"/>
            <w:noWrap/>
            <w:vAlign w:val="bottom"/>
            <w:hideMark/>
          </w:tcPr>
          <w:p w14:paraId="638B79C5" w14:textId="2D2E20D3" w:rsidR="00963792" w:rsidRPr="00253FD9" w:rsidRDefault="00963792" w:rsidP="00253FD9">
            <w:pPr>
              <w:jc w:val="center"/>
              <w:rPr>
                <w:rFonts w:ascii="Times New Roman" w:hAnsi="Times New Roman"/>
                <w:sz w:val="20"/>
              </w:rPr>
            </w:pPr>
            <w:r w:rsidRPr="00253FD9">
              <w:rPr>
                <w:rFonts w:ascii="Calibri" w:hAnsi="Calibri" w:cs="Calibri"/>
                <w:color w:val="000000"/>
                <w:sz w:val="20"/>
              </w:rPr>
              <w:t xml:space="preserve">$0.6 </w:t>
            </w:r>
          </w:p>
        </w:tc>
        <w:tc>
          <w:tcPr>
            <w:tcW w:w="1260" w:type="dxa"/>
            <w:tcBorders>
              <w:top w:val="single" w:sz="4" w:space="0" w:color="auto"/>
              <w:left w:val="single" w:sz="4" w:space="0" w:color="auto"/>
              <w:bottom w:val="nil"/>
              <w:right w:val="single" w:sz="8" w:space="0" w:color="auto"/>
            </w:tcBorders>
            <w:shd w:val="clear" w:color="auto" w:fill="auto"/>
            <w:noWrap/>
            <w:vAlign w:val="bottom"/>
            <w:hideMark/>
          </w:tcPr>
          <w:p w14:paraId="78CB645D" w14:textId="7884673F" w:rsidR="00963792" w:rsidRPr="00253FD9" w:rsidRDefault="00963792" w:rsidP="00253FD9">
            <w:pPr>
              <w:rPr>
                <w:rFonts w:ascii="Calibri" w:hAnsi="Calibri" w:cs="Calibri"/>
                <w:color w:val="000000"/>
                <w:sz w:val="20"/>
              </w:rPr>
            </w:pPr>
            <w:r w:rsidRPr="00253FD9">
              <w:rPr>
                <w:rFonts w:ascii="Calibri" w:hAnsi="Calibri" w:cs="Calibri"/>
                <w:b/>
                <w:bCs/>
                <w:color w:val="000000"/>
                <w:sz w:val="20"/>
              </w:rPr>
              <w:t>Total</w:t>
            </w:r>
          </w:p>
        </w:tc>
      </w:tr>
      <w:tr w:rsidR="00963792" w:rsidRPr="00253FD9" w14:paraId="41F2A376" w14:textId="77777777" w:rsidTr="0009151D">
        <w:trPr>
          <w:trHeight w:val="255"/>
          <w:jc w:val="center"/>
        </w:trPr>
        <w:tc>
          <w:tcPr>
            <w:tcW w:w="671" w:type="dxa"/>
            <w:tcBorders>
              <w:top w:val="nil"/>
              <w:left w:val="single" w:sz="8" w:space="0" w:color="auto"/>
              <w:bottom w:val="single" w:sz="4" w:space="0" w:color="auto"/>
              <w:right w:val="single" w:sz="4" w:space="0" w:color="auto"/>
            </w:tcBorders>
            <w:shd w:val="clear" w:color="auto" w:fill="auto"/>
            <w:noWrap/>
            <w:vAlign w:val="bottom"/>
            <w:hideMark/>
          </w:tcPr>
          <w:p w14:paraId="0CF8B552" w14:textId="0078CA9F" w:rsidR="00963792" w:rsidRPr="00253FD9" w:rsidRDefault="00963792" w:rsidP="00253FD9">
            <w:pPr>
              <w:jc w:val="center"/>
              <w:rPr>
                <w:rFonts w:ascii="Calibri" w:hAnsi="Calibri" w:cs="Calibri"/>
                <w:color w:val="000000"/>
                <w:sz w:val="20"/>
              </w:rPr>
            </w:pPr>
            <w:r w:rsidRPr="00253FD9">
              <w:rPr>
                <w:rFonts w:ascii="Calibri" w:hAnsi="Calibri" w:cs="Calibri"/>
                <w:color w:val="000000"/>
                <w:sz w:val="20"/>
              </w:rPr>
              <w:t>4</w:t>
            </w:r>
          </w:p>
        </w:tc>
        <w:tc>
          <w:tcPr>
            <w:tcW w:w="3639" w:type="dxa"/>
            <w:tcBorders>
              <w:top w:val="nil"/>
              <w:left w:val="nil"/>
              <w:bottom w:val="single" w:sz="4" w:space="0" w:color="auto"/>
              <w:right w:val="nil"/>
            </w:tcBorders>
            <w:shd w:val="clear" w:color="auto" w:fill="auto"/>
            <w:noWrap/>
            <w:vAlign w:val="bottom"/>
            <w:hideMark/>
          </w:tcPr>
          <w:p w14:paraId="3C50BCB1" w14:textId="23D3CC8E" w:rsidR="00963792" w:rsidRPr="00253FD9" w:rsidRDefault="00963792" w:rsidP="00253FD9">
            <w:pPr>
              <w:ind w:firstLineChars="200" w:firstLine="400"/>
              <w:rPr>
                <w:rFonts w:ascii="Calibri" w:hAnsi="Calibri" w:cs="Calibri"/>
                <w:color w:val="000000"/>
                <w:sz w:val="20"/>
              </w:rPr>
            </w:pPr>
            <w:r w:rsidRPr="00253FD9">
              <w:rPr>
                <w:rFonts w:ascii="Calibri" w:hAnsi="Calibri" w:cs="Calibri"/>
                <w:color w:val="000000"/>
                <w:sz w:val="20"/>
              </w:rPr>
              <w:t>Offset to Pension Balancing Account</w:t>
            </w:r>
          </w:p>
        </w:tc>
        <w:tc>
          <w:tcPr>
            <w:tcW w:w="1170" w:type="dxa"/>
            <w:tcBorders>
              <w:top w:val="nil"/>
              <w:left w:val="nil"/>
              <w:bottom w:val="single" w:sz="4" w:space="0" w:color="auto"/>
              <w:right w:val="nil"/>
            </w:tcBorders>
            <w:shd w:val="clear" w:color="auto" w:fill="auto"/>
            <w:noWrap/>
            <w:vAlign w:val="bottom"/>
            <w:hideMark/>
          </w:tcPr>
          <w:p w14:paraId="0063AB18" w14:textId="3497C229" w:rsidR="00963792" w:rsidRPr="00253FD9" w:rsidRDefault="00963792" w:rsidP="00253FD9">
            <w:pPr>
              <w:jc w:val="center"/>
              <w:rPr>
                <w:rFonts w:ascii="Calibri" w:hAnsi="Calibri" w:cs="Calibri"/>
                <w:color w:val="000000"/>
                <w:sz w:val="20"/>
              </w:rPr>
            </w:pPr>
            <w:r w:rsidRPr="00253FD9">
              <w:rPr>
                <w:rFonts w:ascii="Calibri" w:hAnsi="Calibri" w:cs="Calibri"/>
                <w:color w:val="000000"/>
                <w:sz w:val="20"/>
              </w:rPr>
              <w:t xml:space="preserve">$20.3 </w:t>
            </w:r>
          </w:p>
        </w:tc>
        <w:tc>
          <w:tcPr>
            <w:tcW w:w="1170" w:type="dxa"/>
            <w:tcBorders>
              <w:top w:val="nil"/>
              <w:left w:val="nil"/>
              <w:bottom w:val="single" w:sz="4" w:space="0" w:color="auto"/>
              <w:right w:val="nil"/>
            </w:tcBorders>
            <w:shd w:val="clear" w:color="auto" w:fill="auto"/>
            <w:noWrap/>
            <w:vAlign w:val="bottom"/>
            <w:hideMark/>
          </w:tcPr>
          <w:p w14:paraId="0AA77490" w14:textId="5767F76B" w:rsidR="00963792" w:rsidRPr="00253FD9" w:rsidRDefault="00963792" w:rsidP="00253FD9">
            <w:pPr>
              <w:jc w:val="center"/>
              <w:rPr>
                <w:rFonts w:ascii="Calibri" w:hAnsi="Calibri" w:cs="Calibri"/>
                <w:color w:val="000000"/>
                <w:sz w:val="20"/>
              </w:rPr>
            </w:pPr>
            <w:r w:rsidRPr="00253FD9">
              <w:rPr>
                <w:rFonts w:ascii="Calibri" w:hAnsi="Calibri" w:cs="Calibri"/>
                <w:color w:val="000000"/>
                <w:sz w:val="20"/>
              </w:rPr>
              <w:t xml:space="preserve">$47.8 </w:t>
            </w:r>
          </w:p>
        </w:tc>
        <w:tc>
          <w:tcPr>
            <w:tcW w:w="1170" w:type="dxa"/>
            <w:tcBorders>
              <w:top w:val="nil"/>
              <w:left w:val="nil"/>
              <w:bottom w:val="single" w:sz="4" w:space="0" w:color="auto"/>
              <w:right w:val="nil"/>
            </w:tcBorders>
            <w:shd w:val="clear" w:color="auto" w:fill="auto"/>
            <w:noWrap/>
            <w:vAlign w:val="bottom"/>
            <w:hideMark/>
          </w:tcPr>
          <w:p w14:paraId="552F7EAC" w14:textId="6B812604" w:rsidR="00963792" w:rsidRPr="00253FD9" w:rsidRDefault="00963792" w:rsidP="00253FD9">
            <w:pPr>
              <w:jc w:val="center"/>
              <w:rPr>
                <w:rFonts w:ascii="Calibri" w:hAnsi="Calibri" w:cs="Calibri"/>
                <w:color w:val="000000"/>
                <w:sz w:val="20"/>
              </w:rPr>
            </w:pPr>
            <w:r w:rsidRPr="00253FD9">
              <w:rPr>
                <w:rFonts w:ascii="Calibri" w:hAnsi="Calibri" w:cs="Calibri"/>
                <w:color w:val="000000"/>
                <w:sz w:val="20"/>
              </w:rPr>
              <w:t xml:space="preserve">$0.0 </w:t>
            </w:r>
          </w:p>
        </w:tc>
        <w:tc>
          <w:tcPr>
            <w:tcW w:w="1260" w:type="dxa"/>
            <w:tcBorders>
              <w:top w:val="nil"/>
              <w:left w:val="nil"/>
              <w:bottom w:val="single" w:sz="4" w:space="0" w:color="auto"/>
              <w:right w:val="nil"/>
            </w:tcBorders>
            <w:shd w:val="clear" w:color="auto" w:fill="auto"/>
            <w:noWrap/>
            <w:vAlign w:val="bottom"/>
            <w:hideMark/>
          </w:tcPr>
          <w:p w14:paraId="1A1B63D8" w14:textId="0DD45A22" w:rsidR="00963792" w:rsidRPr="00253FD9" w:rsidRDefault="00963792" w:rsidP="00253FD9">
            <w:pPr>
              <w:jc w:val="center"/>
              <w:rPr>
                <w:rFonts w:ascii="Calibri" w:hAnsi="Calibri" w:cs="Calibri"/>
                <w:color w:val="000000"/>
                <w:sz w:val="20"/>
              </w:rPr>
            </w:pPr>
            <w:r w:rsidRPr="00253FD9">
              <w:rPr>
                <w:rFonts w:ascii="Calibri" w:hAnsi="Calibri" w:cs="Calibri"/>
                <w:color w:val="000000"/>
                <w:sz w:val="20"/>
              </w:rPr>
              <w:t xml:space="preserve">$0.0 </w:t>
            </w:r>
          </w:p>
        </w:tc>
        <w:tc>
          <w:tcPr>
            <w:tcW w:w="1260" w:type="dxa"/>
            <w:tcBorders>
              <w:top w:val="nil"/>
              <w:left w:val="single" w:sz="4" w:space="0" w:color="auto"/>
              <w:bottom w:val="single" w:sz="4" w:space="0" w:color="auto"/>
              <w:right w:val="single" w:sz="8" w:space="0" w:color="auto"/>
            </w:tcBorders>
            <w:shd w:val="clear" w:color="auto" w:fill="auto"/>
            <w:noWrap/>
            <w:vAlign w:val="bottom"/>
            <w:hideMark/>
          </w:tcPr>
          <w:p w14:paraId="27D21815" w14:textId="5AD2B821" w:rsidR="00963792" w:rsidRPr="00253FD9" w:rsidRDefault="00963792" w:rsidP="00253FD9">
            <w:pPr>
              <w:jc w:val="center"/>
              <w:rPr>
                <w:rFonts w:ascii="Calibri" w:hAnsi="Calibri" w:cs="Calibri"/>
                <w:b/>
                <w:bCs/>
                <w:color w:val="000000"/>
                <w:sz w:val="20"/>
              </w:rPr>
            </w:pPr>
            <w:r w:rsidRPr="00253FD9">
              <w:rPr>
                <w:rFonts w:ascii="Calibri" w:hAnsi="Calibri" w:cs="Calibri"/>
                <w:b/>
                <w:bCs/>
                <w:color w:val="000000"/>
                <w:sz w:val="20"/>
              </w:rPr>
              <w:t>2009-2022</w:t>
            </w:r>
          </w:p>
        </w:tc>
      </w:tr>
      <w:tr w:rsidR="00963792" w:rsidRPr="00253FD9" w14:paraId="1A51BAE0" w14:textId="77777777" w:rsidTr="0009151D">
        <w:trPr>
          <w:trHeight w:val="255"/>
          <w:jc w:val="center"/>
        </w:trPr>
        <w:tc>
          <w:tcPr>
            <w:tcW w:w="671" w:type="dxa"/>
            <w:tcBorders>
              <w:top w:val="nil"/>
              <w:left w:val="single" w:sz="8" w:space="0" w:color="auto"/>
              <w:bottom w:val="single" w:sz="8" w:space="0" w:color="auto"/>
              <w:right w:val="single" w:sz="4" w:space="0" w:color="auto"/>
            </w:tcBorders>
            <w:shd w:val="clear" w:color="auto" w:fill="auto"/>
            <w:noWrap/>
            <w:vAlign w:val="bottom"/>
            <w:hideMark/>
          </w:tcPr>
          <w:p w14:paraId="1475CACC" w14:textId="3FBC1A6B" w:rsidR="00963792" w:rsidRPr="00253FD9" w:rsidRDefault="00963792" w:rsidP="00253FD9">
            <w:pPr>
              <w:jc w:val="center"/>
              <w:rPr>
                <w:rFonts w:ascii="Calibri" w:hAnsi="Calibri" w:cs="Calibri"/>
                <w:color w:val="000000"/>
                <w:sz w:val="20"/>
              </w:rPr>
            </w:pPr>
            <w:r w:rsidRPr="00253FD9">
              <w:rPr>
                <w:rFonts w:ascii="Calibri" w:hAnsi="Calibri" w:cs="Calibri"/>
                <w:color w:val="000000"/>
                <w:sz w:val="20"/>
              </w:rPr>
              <w:t>5</w:t>
            </w:r>
          </w:p>
        </w:tc>
        <w:tc>
          <w:tcPr>
            <w:tcW w:w="3639" w:type="dxa"/>
            <w:tcBorders>
              <w:top w:val="nil"/>
              <w:left w:val="nil"/>
              <w:bottom w:val="single" w:sz="8" w:space="0" w:color="auto"/>
              <w:right w:val="nil"/>
            </w:tcBorders>
            <w:shd w:val="clear" w:color="auto" w:fill="auto"/>
            <w:noWrap/>
            <w:vAlign w:val="bottom"/>
            <w:hideMark/>
          </w:tcPr>
          <w:p w14:paraId="05F1C14A" w14:textId="0DFABCF5" w:rsidR="00963792" w:rsidRPr="00253FD9" w:rsidRDefault="00963792" w:rsidP="00253FD9">
            <w:pPr>
              <w:ind w:firstLineChars="200" w:firstLine="402"/>
              <w:rPr>
                <w:rFonts w:ascii="Calibri" w:hAnsi="Calibri" w:cs="Calibri"/>
                <w:color w:val="000000"/>
                <w:sz w:val="20"/>
              </w:rPr>
            </w:pPr>
            <w:r w:rsidRPr="00253FD9">
              <w:rPr>
                <w:rFonts w:ascii="Calibri" w:hAnsi="Calibri" w:cs="Calibri"/>
                <w:b/>
                <w:bCs/>
                <w:color w:val="000000"/>
                <w:sz w:val="20"/>
              </w:rPr>
              <w:t>Total</w:t>
            </w:r>
          </w:p>
        </w:tc>
        <w:tc>
          <w:tcPr>
            <w:tcW w:w="1170" w:type="dxa"/>
            <w:tcBorders>
              <w:top w:val="nil"/>
              <w:left w:val="nil"/>
              <w:bottom w:val="single" w:sz="8" w:space="0" w:color="auto"/>
              <w:right w:val="nil"/>
            </w:tcBorders>
            <w:shd w:val="clear" w:color="auto" w:fill="auto"/>
            <w:noWrap/>
            <w:vAlign w:val="bottom"/>
            <w:hideMark/>
          </w:tcPr>
          <w:p w14:paraId="2690EACF" w14:textId="2C364155" w:rsidR="00963792" w:rsidRPr="00253FD9" w:rsidRDefault="00963792" w:rsidP="00253FD9">
            <w:pPr>
              <w:jc w:val="center"/>
              <w:rPr>
                <w:rFonts w:ascii="Calibri" w:hAnsi="Calibri" w:cs="Calibri"/>
                <w:color w:val="000000"/>
                <w:sz w:val="20"/>
              </w:rPr>
            </w:pPr>
            <w:r w:rsidRPr="00253FD9">
              <w:rPr>
                <w:rFonts w:ascii="Calibri" w:hAnsi="Calibri" w:cs="Calibri"/>
                <w:color w:val="000000"/>
                <w:sz w:val="20"/>
              </w:rPr>
              <w:t xml:space="preserve">$47.4 </w:t>
            </w:r>
          </w:p>
        </w:tc>
        <w:tc>
          <w:tcPr>
            <w:tcW w:w="1170" w:type="dxa"/>
            <w:tcBorders>
              <w:top w:val="nil"/>
              <w:left w:val="nil"/>
              <w:bottom w:val="single" w:sz="8" w:space="0" w:color="auto"/>
              <w:right w:val="nil"/>
            </w:tcBorders>
            <w:shd w:val="clear" w:color="auto" w:fill="auto"/>
            <w:noWrap/>
            <w:vAlign w:val="bottom"/>
            <w:hideMark/>
          </w:tcPr>
          <w:p w14:paraId="208CC026" w14:textId="0031AF58" w:rsidR="00963792" w:rsidRPr="00253FD9" w:rsidRDefault="00963792" w:rsidP="00253FD9">
            <w:pPr>
              <w:jc w:val="center"/>
              <w:rPr>
                <w:rFonts w:ascii="Calibri" w:hAnsi="Calibri" w:cs="Calibri"/>
                <w:color w:val="000000"/>
                <w:sz w:val="20"/>
              </w:rPr>
            </w:pPr>
            <w:r w:rsidRPr="00253FD9">
              <w:rPr>
                <w:rFonts w:ascii="Calibri" w:hAnsi="Calibri" w:cs="Calibri"/>
                <w:color w:val="000000"/>
                <w:sz w:val="20"/>
              </w:rPr>
              <w:t xml:space="preserve">$70.6 </w:t>
            </w:r>
          </w:p>
        </w:tc>
        <w:tc>
          <w:tcPr>
            <w:tcW w:w="1170" w:type="dxa"/>
            <w:tcBorders>
              <w:top w:val="nil"/>
              <w:left w:val="nil"/>
              <w:bottom w:val="single" w:sz="8" w:space="0" w:color="auto"/>
              <w:right w:val="nil"/>
            </w:tcBorders>
            <w:shd w:val="clear" w:color="auto" w:fill="auto"/>
            <w:noWrap/>
            <w:vAlign w:val="bottom"/>
            <w:hideMark/>
          </w:tcPr>
          <w:p w14:paraId="52B42714" w14:textId="2FF43608" w:rsidR="00963792" w:rsidRPr="00253FD9" w:rsidRDefault="00963792" w:rsidP="00253FD9">
            <w:pPr>
              <w:jc w:val="center"/>
              <w:rPr>
                <w:rFonts w:ascii="Calibri" w:hAnsi="Calibri" w:cs="Calibri"/>
                <w:color w:val="000000"/>
                <w:sz w:val="20"/>
              </w:rPr>
            </w:pPr>
            <w:r w:rsidRPr="00253FD9">
              <w:rPr>
                <w:rFonts w:ascii="Calibri" w:hAnsi="Calibri" w:cs="Calibri"/>
                <w:color w:val="000000"/>
                <w:sz w:val="20"/>
              </w:rPr>
              <w:t xml:space="preserve">$8.2 </w:t>
            </w:r>
          </w:p>
        </w:tc>
        <w:tc>
          <w:tcPr>
            <w:tcW w:w="1260" w:type="dxa"/>
            <w:tcBorders>
              <w:top w:val="nil"/>
              <w:left w:val="nil"/>
              <w:bottom w:val="single" w:sz="8" w:space="0" w:color="auto"/>
              <w:right w:val="nil"/>
            </w:tcBorders>
            <w:shd w:val="clear" w:color="auto" w:fill="auto"/>
            <w:noWrap/>
            <w:vAlign w:val="bottom"/>
            <w:hideMark/>
          </w:tcPr>
          <w:p w14:paraId="644C09B9" w14:textId="3E691C76" w:rsidR="00963792" w:rsidRPr="00253FD9" w:rsidRDefault="00963792" w:rsidP="00253FD9">
            <w:pPr>
              <w:jc w:val="center"/>
              <w:rPr>
                <w:rFonts w:ascii="Calibri" w:hAnsi="Calibri" w:cs="Calibri"/>
                <w:color w:val="000000"/>
                <w:sz w:val="20"/>
              </w:rPr>
            </w:pPr>
            <w:r w:rsidRPr="00253FD9">
              <w:rPr>
                <w:rFonts w:ascii="Calibri" w:hAnsi="Calibri" w:cs="Calibri"/>
                <w:color w:val="000000"/>
                <w:sz w:val="20"/>
              </w:rPr>
              <w:t xml:space="preserve">$0.6 </w:t>
            </w:r>
          </w:p>
        </w:tc>
        <w:tc>
          <w:tcPr>
            <w:tcW w:w="1260" w:type="dxa"/>
            <w:tcBorders>
              <w:top w:val="nil"/>
              <w:left w:val="single" w:sz="4" w:space="0" w:color="auto"/>
              <w:bottom w:val="single" w:sz="8" w:space="0" w:color="auto"/>
              <w:right w:val="single" w:sz="8" w:space="0" w:color="auto"/>
            </w:tcBorders>
            <w:shd w:val="clear" w:color="auto" w:fill="auto"/>
            <w:noWrap/>
            <w:vAlign w:val="bottom"/>
            <w:hideMark/>
          </w:tcPr>
          <w:p w14:paraId="541DE7C8" w14:textId="79271201" w:rsidR="00963792" w:rsidRPr="00253FD9" w:rsidRDefault="00963792" w:rsidP="00253FD9">
            <w:pPr>
              <w:jc w:val="center"/>
              <w:rPr>
                <w:rFonts w:ascii="Calibri" w:hAnsi="Calibri" w:cs="Calibri"/>
                <w:b/>
                <w:bCs/>
                <w:color w:val="000000"/>
                <w:sz w:val="20"/>
              </w:rPr>
            </w:pPr>
            <w:r w:rsidRPr="00253FD9">
              <w:rPr>
                <w:rFonts w:ascii="Calibri" w:hAnsi="Calibri" w:cs="Calibri"/>
                <w:b/>
                <w:bCs/>
                <w:color w:val="000000"/>
                <w:sz w:val="20"/>
              </w:rPr>
              <w:t xml:space="preserve">$126.7 </w:t>
            </w:r>
          </w:p>
        </w:tc>
      </w:tr>
      <w:tr w:rsidR="00963792" w:rsidRPr="00253FD9" w14:paraId="4F101869" w14:textId="77777777" w:rsidTr="008469EE">
        <w:trPr>
          <w:trHeight w:val="270"/>
          <w:jc w:val="center"/>
        </w:trPr>
        <w:tc>
          <w:tcPr>
            <w:tcW w:w="671" w:type="dxa"/>
            <w:tcBorders>
              <w:top w:val="nil"/>
              <w:left w:val="single" w:sz="8" w:space="0" w:color="auto"/>
              <w:bottom w:val="single" w:sz="8" w:space="0" w:color="auto"/>
              <w:right w:val="single" w:sz="4" w:space="0" w:color="auto"/>
            </w:tcBorders>
            <w:shd w:val="clear" w:color="auto" w:fill="auto"/>
            <w:noWrap/>
            <w:vAlign w:val="bottom"/>
          </w:tcPr>
          <w:p w14:paraId="4C7AE756" w14:textId="42227A21" w:rsidR="00963792" w:rsidRPr="00253FD9" w:rsidRDefault="00963792" w:rsidP="00253FD9">
            <w:pPr>
              <w:jc w:val="center"/>
              <w:rPr>
                <w:rFonts w:ascii="Calibri" w:hAnsi="Calibri" w:cs="Calibri"/>
                <w:color w:val="000000"/>
                <w:sz w:val="20"/>
              </w:rPr>
            </w:pPr>
          </w:p>
        </w:tc>
        <w:tc>
          <w:tcPr>
            <w:tcW w:w="3639" w:type="dxa"/>
            <w:tcBorders>
              <w:top w:val="nil"/>
              <w:left w:val="nil"/>
              <w:bottom w:val="single" w:sz="8" w:space="0" w:color="auto"/>
              <w:right w:val="nil"/>
            </w:tcBorders>
            <w:shd w:val="clear" w:color="auto" w:fill="auto"/>
            <w:noWrap/>
            <w:vAlign w:val="bottom"/>
          </w:tcPr>
          <w:p w14:paraId="22099E6B" w14:textId="3B3D84F5" w:rsidR="00963792" w:rsidRPr="00253FD9" w:rsidRDefault="00963792" w:rsidP="00253FD9">
            <w:pPr>
              <w:ind w:firstLineChars="200" w:firstLine="402"/>
              <w:jc w:val="right"/>
              <w:rPr>
                <w:rFonts w:ascii="Calibri" w:hAnsi="Calibri" w:cs="Calibri"/>
                <w:b/>
                <w:bCs/>
                <w:color w:val="000000"/>
                <w:sz w:val="20"/>
              </w:rPr>
            </w:pPr>
          </w:p>
        </w:tc>
        <w:tc>
          <w:tcPr>
            <w:tcW w:w="1170" w:type="dxa"/>
            <w:tcBorders>
              <w:top w:val="nil"/>
              <w:left w:val="nil"/>
              <w:bottom w:val="single" w:sz="8" w:space="0" w:color="auto"/>
              <w:right w:val="nil"/>
            </w:tcBorders>
            <w:shd w:val="clear" w:color="auto" w:fill="auto"/>
            <w:noWrap/>
            <w:vAlign w:val="bottom"/>
          </w:tcPr>
          <w:p w14:paraId="660F2FFB" w14:textId="4618A9F9" w:rsidR="00963792" w:rsidRPr="00253FD9" w:rsidRDefault="00963792" w:rsidP="00253FD9">
            <w:pPr>
              <w:jc w:val="center"/>
              <w:rPr>
                <w:rFonts w:ascii="Calibri" w:hAnsi="Calibri" w:cs="Calibri"/>
                <w:color w:val="000000"/>
                <w:sz w:val="20"/>
              </w:rPr>
            </w:pPr>
          </w:p>
        </w:tc>
        <w:tc>
          <w:tcPr>
            <w:tcW w:w="1170" w:type="dxa"/>
            <w:tcBorders>
              <w:top w:val="nil"/>
              <w:left w:val="nil"/>
              <w:bottom w:val="single" w:sz="8" w:space="0" w:color="auto"/>
              <w:right w:val="nil"/>
            </w:tcBorders>
            <w:shd w:val="clear" w:color="auto" w:fill="auto"/>
            <w:noWrap/>
            <w:vAlign w:val="bottom"/>
          </w:tcPr>
          <w:p w14:paraId="6FB0AA77" w14:textId="5D1D3F77" w:rsidR="00963792" w:rsidRPr="00253FD9" w:rsidRDefault="00963792" w:rsidP="00253FD9">
            <w:pPr>
              <w:jc w:val="center"/>
              <w:rPr>
                <w:rFonts w:ascii="Calibri" w:hAnsi="Calibri" w:cs="Calibri"/>
                <w:color w:val="000000"/>
                <w:sz w:val="20"/>
              </w:rPr>
            </w:pPr>
          </w:p>
        </w:tc>
        <w:tc>
          <w:tcPr>
            <w:tcW w:w="1170" w:type="dxa"/>
            <w:tcBorders>
              <w:top w:val="nil"/>
              <w:left w:val="nil"/>
              <w:bottom w:val="single" w:sz="8" w:space="0" w:color="auto"/>
              <w:right w:val="nil"/>
            </w:tcBorders>
            <w:shd w:val="clear" w:color="auto" w:fill="auto"/>
            <w:noWrap/>
            <w:vAlign w:val="bottom"/>
          </w:tcPr>
          <w:p w14:paraId="678881DA" w14:textId="5D2B31AA" w:rsidR="00963792" w:rsidRPr="00253FD9" w:rsidRDefault="00963792" w:rsidP="00253FD9">
            <w:pPr>
              <w:jc w:val="center"/>
              <w:rPr>
                <w:rFonts w:ascii="Calibri" w:hAnsi="Calibri" w:cs="Calibri"/>
                <w:color w:val="000000"/>
                <w:sz w:val="20"/>
              </w:rPr>
            </w:pPr>
          </w:p>
        </w:tc>
        <w:tc>
          <w:tcPr>
            <w:tcW w:w="1260" w:type="dxa"/>
            <w:tcBorders>
              <w:top w:val="nil"/>
              <w:left w:val="nil"/>
              <w:bottom w:val="single" w:sz="8" w:space="0" w:color="auto"/>
              <w:right w:val="nil"/>
            </w:tcBorders>
            <w:shd w:val="clear" w:color="auto" w:fill="auto"/>
            <w:noWrap/>
            <w:vAlign w:val="bottom"/>
          </w:tcPr>
          <w:p w14:paraId="7AEA7450" w14:textId="22A98A4B" w:rsidR="00963792" w:rsidRPr="00253FD9" w:rsidRDefault="00963792" w:rsidP="00253FD9">
            <w:pPr>
              <w:jc w:val="center"/>
              <w:rPr>
                <w:rFonts w:ascii="Calibri" w:hAnsi="Calibri" w:cs="Calibri"/>
                <w:color w:val="000000"/>
                <w:sz w:val="20"/>
              </w:rPr>
            </w:pPr>
          </w:p>
        </w:tc>
        <w:tc>
          <w:tcPr>
            <w:tcW w:w="1260" w:type="dxa"/>
            <w:tcBorders>
              <w:top w:val="nil"/>
              <w:left w:val="single" w:sz="4" w:space="0" w:color="auto"/>
              <w:bottom w:val="single" w:sz="8" w:space="0" w:color="auto"/>
              <w:right w:val="single" w:sz="8" w:space="0" w:color="auto"/>
            </w:tcBorders>
            <w:shd w:val="clear" w:color="auto" w:fill="auto"/>
            <w:noWrap/>
            <w:vAlign w:val="bottom"/>
          </w:tcPr>
          <w:p w14:paraId="0F7D2564" w14:textId="1EE06C5A" w:rsidR="00963792" w:rsidRPr="00253FD9" w:rsidRDefault="00963792" w:rsidP="00253FD9">
            <w:pPr>
              <w:jc w:val="center"/>
              <w:rPr>
                <w:rFonts w:ascii="Calibri" w:hAnsi="Calibri" w:cs="Calibri"/>
                <w:b/>
                <w:bCs/>
                <w:color w:val="000000"/>
                <w:sz w:val="20"/>
              </w:rPr>
            </w:pPr>
          </w:p>
        </w:tc>
      </w:tr>
    </w:tbl>
    <w:p w14:paraId="3631E712" w14:textId="77777777" w:rsidR="00D64B0D" w:rsidRPr="00984E60" w:rsidRDefault="00D64B0D" w:rsidP="00D64B0D">
      <w:pPr>
        <w:pStyle w:val="Testimony"/>
        <w:widowControl/>
        <w:tabs>
          <w:tab w:val="clear" w:pos="2160"/>
          <w:tab w:val="left" w:pos="1980"/>
        </w:tabs>
        <w:spacing w:line="456" w:lineRule="auto"/>
        <w:ind w:firstLine="0"/>
        <w:rPr>
          <w:rFonts w:ascii="Courier New" w:hAnsi="Courier New" w:cs="Courier New"/>
        </w:rPr>
      </w:pPr>
    </w:p>
    <w:p w14:paraId="337A805F" w14:textId="6C2B17C9" w:rsidR="00D64B0D" w:rsidRPr="00984E60" w:rsidRDefault="00D64B0D" w:rsidP="00D64B0D">
      <w:pPr>
        <w:pStyle w:val="Testimony"/>
        <w:widowControl/>
        <w:tabs>
          <w:tab w:val="clear" w:pos="2160"/>
          <w:tab w:val="left" w:pos="1980"/>
        </w:tabs>
        <w:spacing w:line="456" w:lineRule="auto"/>
        <w:rPr>
          <w:rFonts w:ascii="Courier New" w:hAnsi="Courier New" w:cs="Courier New"/>
        </w:rPr>
      </w:pPr>
      <w:r w:rsidRPr="00984E60">
        <w:rPr>
          <w:rFonts w:ascii="Courier New" w:hAnsi="Courier New" w:cs="Courier New"/>
        </w:rPr>
        <w:t>Q.</w:t>
      </w:r>
      <w:r w:rsidRPr="00984E60">
        <w:rPr>
          <w:rFonts w:ascii="Courier New" w:hAnsi="Courier New" w:cs="Courier New"/>
        </w:rPr>
        <w:tab/>
        <w:t xml:space="preserve">Did the Company’s year-end </w:t>
      </w:r>
      <w:r w:rsidR="00202300">
        <w:rPr>
          <w:rFonts w:ascii="Courier New" w:hAnsi="Courier New" w:cs="Courier New"/>
        </w:rPr>
        <w:t>2022</w:t>
      </w:r>
      <w:r w:rsidRPr="00984E60">
        <w:rPr>
          <w:rFonts w:ascii="Courier New" w:hAnsi="Courier New" w:cs="Courier New"/>
        </w:rPr>
        <w:t xml:space="preserve"> financial results warrant any action related to the existing sharing agreement per the terms of the 20</w:t>
      </w:r>
      <w:r w:rsidR="005C2A29">
        <w:rPr>
          <w:rFonts w:ascii="Courier New" w:hAnsi="Courier New" w:cs="Courier New"/>
        </w:rPr>
        <w:t>18</w:t>
      </w:r>
      <w:r w:rsidRPr="00984E60">
        <w:rPr>
          <w:rFonts w:ascii="Courier New" w:hAnsi="Courier New" w:cs="Courier New"/>
        </w:rPr>
        <w:t xml:space="preserve"> Stipulation?</w:t>
      </w:r>
    </w:p>
    <w:p w14:paraId="7D9B8663" w14:textId="04F7096F" w:rsidR="00D64B0D" w:rsidRPr="00984E60" w:rsidRDefault="00D64B0D" w:rsidP="00D64B0D">
      <w:pPr>
        <w:pStyle w:val="Testimony"/>
        <w:widowControl/>
        <w:tabs>
          <w:tab w:val="clear" w:pos="2160"/>
          <w:tab w:val="left" w:pos="1980"/>
        </w:tabs>
        <w:spacing w:line="456" w:lineRule="auto"/>
        <w:rPr>
          <w:rFonts w:ascii="Courier New" w:hAnsi="Courier New" w:cs="Courier New"/>
        </w:rPr>
      </w:pPr>
      <w:r w:rsidRPr="00984E60">
        <w:rPr>
          <w:rFonts w:ascii="Courier New" w:hAnsi="Courier New" w:cs="Courier New"/>
        </w:rPr>
        <w:t>A.</w:t>
      </w:r>
      <w:r w:rsidRPr="00984E60">
        <w:rPr>
          <w:rFonts w:ascii="Courier New" w:hAnsi="Courier New" w:cs="Courier New"/>
        </w:rPr>
        <w:tab/>
      </w:r>
      <w:r w:rsidR="0049280A" w:rsidRPr="00984E60">
        <w:rPr>
          <w:rFonts w:ascii="Courier New" w:hAnsi="Courier New" w:cs="Courier New"/>
        </w:rPr>
        <w:t>No.  The Company’s year-end 20</w:t>
      </w:r>
      <w:r w:rsidR="0049280A">
        <w:rPr>
          <w:rFonts w:ascii="Courier New" w:hAnsi="Courier New" w:cs="Courier New"/>
        </w:rPr>
        <w:t>2</w:t>
      </w:r>
      <w:r w:rsidR="00F7226E">
        <w:rPr>
          <w:rFonts w:ascii="Courier New" w:hAnsi="Courier New" w:cs="Courier New"/>
        </w:rPr>
        <w:t>2</w:t>
      </w:r>
      <w:r w:rsidR="0049280A" w:rsidRPr="00984E60">
        <w:rPr>
          <w:rFonts w:ascii="Courier New" w:hAnsi="Courier New" w:cs="Courier New"/>
        </w:rPr>
        <w:t xml:space="preserve"> financial results yielded an actual Idaho jurisdictional ROE of </w:t>
      </w:r>
      <w:r w:rsidR="0049280A" w:rsidRPr="00EA5339">
        <w:rPr>
          <w:rFonts w:ascii="Courier New" w:hAnsi="Courier New" w:cs="Courier New"/>
        </w:rPr>
        <w:t>9.8</w:t>
      </w:r>
      <w:r w:rsidR="0049280A" w:rsidRPr="00984E60">
        <w:rPr>
          <w:rFonts w:ascii="Courier New" w:hAnsi="Courier New" w:cs="Courier New"/>
        </w:rPr>
        <w:t xml:space="preserve"> percent, falling below the 10 percent ROE threshold for revenue sharing, and thus resulting in no revenue sharing with customers.   </w:t>
      </w:r>
    </w:p>
    <w:p w14:paraId="527F87EA" w14:textId="3C02F985" w:rsidR="00D64B0D" w:rsidRPr="00984E60" w:rsidRDefault="00D64B0D" w:rsidP="00D64B0D">
      <w:pPr>
        <w:pStyle w:val="Testimony"/>
        <w:widowControl/>
        <w:tabs>
          <w:tab w:val="clear" w:pos="2160"/>
          <w:tab w:val="left" w:pos="1980"/>
        </w:tabs>
        <w:spacing w:line="456" w:lineRule="auto"/>
        <w:rPr>
          <w:rFonts w:ascii="Courier New" w:hAnsi="Courier New" w:cs="Courier New"/>
        </w:rPr>
      </w:pPr>
      <w:r w:rsidRPr="00984E60">
        <w:rPr>
          <w:rFonts w:ascii="Courier New" w:hAnsi="Courier New" w:cs="Courier New"/>
        </w:rPr>
        <w:t>Q.</w:t>
      </w:r>
      <w:r w:rsidRPr="00984E60">
        <w:rPr>
          <w:rFonts w:ascii="Courier New" w:hAnsi="Courier New" w:cs="Courier New"/>
        </w:rPr>
        <w:tab/>
        <w:t xml:space="preserve">Did the Company use the same methodology to determine the Idaho jurisdictional </w:t>
      </w:r>
      <w:r w:rsidR="00202300">
        <w:rPr>
          <w:rFonts w:ascii="Courier New" w:hAnsi="Courier New" w:cs="Courier New"/>
        </w:rPr>
        <w:t>2022</w:t>
      </w:r>
      <w:r w:rsidRPr="00984E60">
        <w:rPr>
          <w:rFonts w:ascii="Courier New" w:hAnsi="Courier New" w:cs="Courier New"/>
        </w:rPr>
        <w:t xml:space="preserve"> year-end ROE that was used in prior PCA filings?</w:t>
      </w:r>
    </w:p>
    <w:p w14:paraId="018DF0E8" w14:textId="01717C92" w:rsidR="00D64B0D" w:rsidRPr="00984E60" w:rsidRDefault="00D64B0D" w:rsidP="00D64B0D">
      <w:pPr>
        <w:pStyle w:val="Testimony"/>
        <w:widowControl/>
        <w:tabs>
          <w:tab w:val="clear" w:pos="2160"/>
          <w:tab w:val="left" w:pos="1980"/>
        </w:tabs>
        <w:spacing w:line="456" w:lineRule="auto"/>
        <w:rPr>
          <w:rFonts w:ascii="Courier New" w:hAnsi="Courier New" w:cs="Courier New"/>
        </w:rPr>
      </w:pPr>
      <w:r w:rsidRPr="00984E60">
        <w:rPr>
          <w:rFonts w:ascii="Courier New" w:hAnsi="Courier New" w:cs="Courier New"/>
        </w:rPr>
        <w:t>A.</w:t>
      </w:r>
      <w:r w:rsidRPr="00984E60">
        <w:rPr>
          <w:rFonts w:ascii="Courier New" w:hAnsi="Courier New" w:cs="Courier New"/>
        </w:rPr>
        <w:tab/>
        <w:t xml:space="preserve">Yes.  The methodology used to determine the Company’s Idaho jurisdictional </w:t>
      </w:r>
      <w:r w:rsidR="00202300">
        <w:rPr>
          <w:rFonts w:ascii="Courier New" w:hAnsi="Courier New" w:cs="Courier New"/>
        </w:rPr>
        <w:t>2022</w:t>
      </w:r>
      <w:r w:rsidRPr="00984E60">
        <w:rPr>
          <w:rFonts w:ascii="Courier New" w:hAnsi="Courier New" w:cs="Courier New"/>
        </w:rPr>
        <w:t xml:space="preserve"> year-end ROE is consistent with the methodology used for the year-end ROE determinations since the inception of the mechanism. </w:t>
      </w:r>
    </w:p>
    <w:p w14:paraId="3D5FA00A" w14:textId="77777777" w:rsidR="00D64B0D" w:rsidRPr="00984E60" w:rsidRDefault="00D64B0D" w:rsidP="00D64B0D">
      <w:pPr>
        <w:pStyle w:val="Testimony"/>
        <w:widowControl/>
        <w:tabs>
          <w:tab w:val="clear" w:pos="2160"/>
          <w:tab w:val="left" w:pos="1980"/>
        </w:tabs>
        <w:spacing w:line="456" w:lineRule="auto"/>
        <w:rPr>
          <w:rFonts w:ascii="Courier New" w:hAnsi="Courier New" w:cs="Courier New"/>
        </w:rPr>
      </w:pPr>
      <w:r w:rsidRPr="00984E60">
        <w:rPr>
          <w:rFonts w:ascii="Courier New" w:hAnsi="Courier New" w:cs="Courier New"/>
        </w:rPr>
        <w:t>Q.</w:t>
      </w:r>
      <w:r w:rsidRPr="00984E60">
        <w:rPr>
          <w:rFonts w:ascii="Courier New" w:hAnsi="Courier New" w:cs="Courier New"/>
        </w:rPr>
        <w:tab/>
        <w:t>Do you have an exhibit demonstrating the application of this methodology?</w:t>
      </w:r>
    </w:p>
    <w:p w14:paraId="188B7C79" w14:textId="2528FB2D" w:rsidR="00D64B0D" w:rsidRDefault="00D64B0D" w:rsidP="00D64B0D">
      <w:pPr>
        <w:pStyle w:val="Testimony"/>
        <w:widowControl/>
        <w:tabs>
          <w:tab w:val="clear" w:pos="2160"/>
          <w:tab w:val="left" w:pos="1980"/>
        </w:tabs>
        <w:spacing w:line="456" w:lineRule="auto"/>
        <w:rPr>
          <w:rFonts w:ascii="Courier New" w:hAnsi="Courier New" w:cs="Courier New"/>
        </w:rPr>
      </w:pPr>
      <w:r w:rsidRPr="00984E60">
        <w:rPr>
          <w:rFonts w:ascii="Courier New" w:hAnsi="Courier New" w:cs="Courier New"/>
        </w:rPr>
        <w:lastRenderedPageBreak/>
        <w:t>A.</w:t>
      </w:r>
      <w:r w:rsidRPr="00984E60">
        <w:rPr>
          <w:rFonts w:ascii="Courier New" w:hAnsi="Courier New" w:cs="Courier New"/>
        </w:rPr>
        <w:tab/>
        <w:t xml:space="preserve">Yes.  Exhibit No. </w:t>
      </w:r>
      <w:r w:rsidR="00F2405A">
        <w:rPr>
          <w:rFonts w:ascii="Courier New" w:hAnsi="Courier New" w:cs="Courier New"/>
        </w:rPr>
        <w:t>3</w:t>
      </w:r>
      <w:r w:rsidRPr="00984E60">
        <w:rPr>
          <w:rFonts w:ascii="Courier New" w:hAnsi="Courier New" w:cs="Courier New"/>
        </w:rPr>
        <w:t xml:space="preserve"> provides a step-by-step calculation of the Idaho jurisdictional ROE based on year-end </w:t>
      </w:r>
      <w:r w:rsidR="00202300">
        <w:rPr>
          <w:rFonts w:ascii="Courier New" w:hAnsi="Courier New" w:cs="Courier New"/>
        </w:rPr>
        <w:t>2022</w:t>
      </w:r>
      <w:r w:rsidRPr="00984E60">
        <w:rPr>
          <w:rFonts w:ascii="Courier New" w:hAnsi="Courier New" w:cs="Courier New"/>
        </w:rPr>
        <w:t xml:space="preserve"> financial results utilizing the Commission-approved methodology from previous PCA filings. </w:t>
      </w:r>
    </w:p>
    <w:p w14:paraId="6277382B" w14:textId="77777777" w:rsidR="00EA544F" w:rsidRPr="00864420" w:rsidRDefault="001D3F2A" w:rsidP="001D3F2A">
      <w:pPr>
        <w:pStyle w:val="Testimony"/>
        <w:widowControl/>
        <w:tabs>
          <w:tab w:val="clear" w:pos="2160"/>
        </w:tabs>
        <w:spacing w:line="456" w:lineRule="auto"/>
        <w:ind w:firstLine="0"/>
        <w:jc w:val="center"/>
        <w:rPr>
          <w:rFonts w:ascii="Courier New" w:hAnsi="Courier New" w:cs="Courier New"/>
          <w:b/>
          <w:u w:val="single"/>
        </w:rPr>
      </w:pPr>
      <w:r>
        <w:rPr>
          <w:rFonts w:ascii="Courier New" w:hAnsi="Courier New" w:cs="Courier New"/>
          <w:b/>
          <w:u w:val="single"/>
        </w:rPr>
        <w:t xml:space="preserve">IV. </w:t>
      </w:r>
      <w:r w:rsidR="00EA544F" w:rsidRPr="00864420">
        <w:rPr>
          <w:rFonts w:ascii="Courier New" w:hAnsi="Courier New" w:cs="Courier New"/>
          <w:b/>
          <w:u w:val="single"/>
        </w:rPr>
        <w:t>NET CUSTOMER IMPACT</w:t>
      </w:r>
    </w:p>
    <w:bookmarkEnd w:id="5"/>
    <w:p w14:paraId="12B2A81C" w14:textId="77777777" w:rsidR="00EA544F" w:rsidRPr="00864420" w:rsidRDefault="0055721E" w:rsidP="00A526EF">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Q.</w:t>
      </w:r>
      <w:r>
        <w:rPr>
          <w:rFonts w:ascii="Courier New" w:hAnsi="Courier New" w:cs="Courier New"/>
        </w:rPr>
        <w:tab/>
      </w:r>
      <w:r w:rsidR="00EA544F" w:rsidRPr="00864420">
        <w:rPr>
          <w:rFonts w:ascii="Courier New" w:hAnsi="Courier New" w:cs="Courier New"/>
        </w:rPr>
        <w:t xml:space="preserve">What is the revenue impact of the requested PCA rate when compared </w:t>
      </w:r>
      <w:r w:rsidR="00BE59ED" w:rsidRPr="00864420">
        <w:rPr>
          <w:rFonts w:ascii="Courier New" w:hAnsi="Courier New" w:cs="Courier New"/>
        </w:rPr>
        <w:t>with</w:t>
      </w:r>
      <w:r w:rsidR="00EA544F" w:rsidRPr="00864420">
        <w:rPr>
          <w:rFonts w:ascii="Courier New" w:hAnsi="Courier New" w:cs="Courier New"/>
        </w:rPr>
        <w:t xml:space="preserve"> PCA rates currently in effect?</w:t>
      </w:r>
    </w:p>
    <w:p w14:paraId="6AE7EF85" w14:textId="1152DF09" w:rsidR="00EA544F" w:rsidRDefault="0055721E" w:rsidP="00A526EF">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A.</w:t>
      </w:r>
      <w:r>
        <w:rPr>
          <w:rFonts w:ascii="Courier New" w:hAnsi="Courier New" w:cs="Courier New"/>
        </w:rPr>
        <w:tab/>
      </w:r>
      <w:r w:rsidR="00EA544F" w:rsidRPr="00864420">
        <w:rPr>
          <w:rFonts w:ascii="Courier New" w:hAnsi="Courier New" w:cs="Courier New"/>
        </w:rPr>
        <w:t xml:space="preserve">Attachment 2 to the Application filed contemporaneously with </w:t>
      </w:r>
      <w:r w:rsidR="00A3784D">
        <w:rPr>
          <w:rFonts w:ascii="Courier New" w:hAnsi="Courier New" w:cs="Courier New"/>
        </w:rPr>
        <w:t>my testimony</w:t>
      </w:r>
      <w:r w:rsidR="008F4A0E">
        <w:rPr>
          <w:rFonts w:ascii="Courier New" w:hAnsi="Courier New" w:cs="Courier New"/>
        </w:rPr>
        <w:t xml:space="preserve"> </w:t>
      </w:r>
      <w:r w:rsidR="00EA544F" w:rsidRPr="00864420">
        <w:rPr>
          <w:rFonts w:ascii="Courier New" w:hAnsi="Courier New" w:cs="Courier New"/>
        </w:rPr>
        <w:t>provides a detailed description of the overall revenue impact of this filing on each customer class.</w:t>
      </w:r>
      <w:r w:rsidR="003C34F6" w:rsidRPr="00864420">
        <w:rPr>
          <w:rFonts w:ascii="Courier New" w:hAnsi="Courier New" w:cs="Courier New"/>
        </w:rPr>
        <w:t xml:space="preserve"> </w:t>
      </w:r>
      <w:r>
        <w:rPr>
          <w:rFonts w:ascii="Courier New" w:hAnsi="Courier New" w:cs="Courier New"/>
        </w:rPr>
        <w:t xml:space="preserve"> </w:t>
      </w:r>
      <w:r w:rsidR="00A526EF">
        <w:rPr>
          <w:rFonts w:ascii="Courier New" w:hAnsi="Courier New" w:cs="Courier New"/>
        </w:rPr>
        <w:t>As shown in</w:t>
      </w:r>
      <w:r w:rsidR="00EA544F" w:rsidRPr="00864420">
        <w:rPr>
          <w:rFonts w:ascii="Courier New" w:hAnsi="Courier New" w:cs="Courier New"/>
        </w:rPr>
        <w:t xml:space="preserve"> Attachment 2, applying the requested PCA rates</w:t>
      </w:r>
      <w:r w:rsidR="00D64B0D">
        <w:rPr>
          <w:rFonts w:ascii="Courier New" w:hAnsi="Courier New" w:cs="Courier New"/>
        </w:rPr>
        <w:t xml:space="preserve"> </w:t>
      </w:r>
      <w:r w:rsidR="00EA544F" w:rsidRPr="00864420">
        <w:rPr>
          <w:rFonts w:ascii="Courier New" w:hAnsi="Courier New" w:cs="Courier New"/>
        </w:rPr>
        <w:t xml:space="preserve">to expected customer sales for the June </w:t>
      </w:r>
      <w:r w:rsidR="00202300">
        <w:rPr>
          <w:rFonts w:ascii="Courier New" w:hAnsi="Courier New" w:cs="Courier New"/>
        </w:rPr>
        <w:t>2023</w:t>
      </w:r>
      <w:r w:rsidR="0011517F" w:rsidRPr="00864420">
        <w:rPr>
          <w:rFonts w:ascii="Courier New" w:hAnsi="Courier New" w:cs="Courier New"/>
        </w:rPr>
        <w:t xml:space="preserve"> through May </w:t>
      </w:r>
      <w:r w:rsidR="00202300">
        <w:rPr>
          <w:rFonts w:ascii="Courier New" w:hAnsi="Courier New" w:cs="Courier New"/>
        </w:rPr>
        <w:t>2024</w:t>
      </w:r>
      <w:r w:rsidR="00EA544F" w:rsidRPr="00864420">
        <w:rPr>
          <w:rFonts w:ascii="Courier New" w:hAnsi="Courier New" w:cs="Courier New"/>
        </w:rPr>
        <w:t xml:space="preserve"> test year</w:t>
      </w:r>
      <w:r w:rsidR="00A54DB3">
        <w:rPr>
          <w:rStyle w:val="FootnoteReference"/>
          <w:rFonts w:ascii="Courier New" w:hAnsi="Courier New"/>
        </w:rPr>
        <w:footnoteReference w:id="6"/>
      </w:r>
      <w:r w:rsidR="00EA544F" w:rsidRPr="00864420">
        <w:rPr>
          <w:rFonts w:ascii="Courier New" w:hAnsi="Courier New" w:cs="Courier New"/>
        </w:rPr>
        <w:t xml:space="preserve"> results in a PCA </w:t>
      </w:r>
      <w:r w:rsidR="00F54679">
        <w:rPr>
          <w:rFonts w:ascii="Courier New" w:hAnsi="Courier New" w:cs="Courier New"/>
        </w:rPr>
        <w:t>in</w:t>
      </w:r>
      <w:r w:rsidR="00EA544F" w:rsidRPr="00864420">
        <w:rPr>
          <w:rFonts w:ascii="Courier New" w:hAnsi="Courier New" w:cs="Courier New"/>
        </w:rPr>
        <w:t>crease of $</w:t>
      </w:r>
      <w:r w:rsidR="00E11049">
        <w:rPr>
          <w:rFonts w:ascii="Courier New" w:hAnsi="Courier New" w:cs="Courier New"/>
        </w:rPr>
        <w:t>200.2</w:t>
      </w:r>
      <w:r w:rsidR="0049280A">
        <w:rPr>
          <w:rFonts w:ascii="Courier New" w:hAnsi="Courier New" w:cs="Courier New"/>
        </w:rPr>
        <w:t xml:space="preserve"> </w:t>
      </w:r>
      <w:r w:rsidR="00EA544F" w:rsidRPr="00864420">
        <w:rPr>
          <w:rFonts w:ascii="Courier New" w:hAnsi="Courier New" w:cs="Courier New"/>
        </w:rPr>
        <w:t>million.</w:t>
      </w:r>
    </w:p>
    <w:p w14:paraId="5EDCA7BE" w14:textId="1112F932" w:rsidR="00FA4429" w:rsidRDefault="00FA4429" w:rsidP="00FA4429">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Q.</w:t>
      </w:r>
      <w:r>
        <w:rPr>
          <w:rFonts w:ascii="Courier New" w:hAnsi="Courier New" w:cs="Courier New"/>
        </w:rPr>
        <w:tab/>
        <w:t xml:space="preserve">Given the magnitude of the increase for the </w:t>
      </w:r>
      <w:r w:rsidR="00202300">
        <w:rPr>
          <w:rFonts w:ascii="Courier New" w:hAnsi="Courier New" w:cs="Courier New"/>
        </w:rPr>
        <w:t>2023</w:t>
      </w:r>
      <w:r>
        <w:rPr>
          <w:rFonts w:ascii="Courier New" w:hAnsi="Courier New" w:cs="Courier New"/>
        </w:rPr>
        <w:t>-</w:t>
      </w:r>
      <w:r w:rsidR="00202300">
        <w:rPr>
          <w:rFonts w:ascii="Courier New" w:hAnsi="Courier New" w:cs="Courier New"/>
        </w:rPr>
        <w:t>2024</w:t>
      </w:r>
      <w:r>
        <w:rPr>
          <w:rFonts w:ascii="Courier New" w:hAnsi="Courier New" w:cs="Courier New"/>
        </w:rPr>
        <w:t xml:space="preserve"> PCA, did the Company consider proposing any rate mitigation options? </w:t>
      </w:r>
    </w:p>
    <w:p w14:paraId="64068F56" w14:textId="0876788A" w:rsidR="00FA4429" w:rsidRDefault="00FA4429" w:rsidP="00E348F0">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A.</w:t>
      </w:r>
      <w:r>
        <w:rPr>
          <w:rFonts w:ascii="Courier New" w:hAnsi="Courier New" w:cs="Courier New"/>
        </w:rPr>
        <w:tab/>
        <w:t>Yes</w:t>
      </w:r>
      <w:r w:rsidR="00E348F0">
        <w:rPr>
          <w:rFonts w:ascii="Courier New" w:hAnsi="Courier New" w:cs="Courier New"/>
        </w:rPr>
        <w:t>, though</w:t>
      </w:r>
      <w:r w:rsidR="00E348F0" w:rsidRPr="005E6BED">
        <w:t xml:space="preserve"> </w:t>
      </w:r>
      <w:r w:rsidR="00E348F0">
        <w:t>after careful consideration</w:t>
      </w:r>
      <w:r w:rsidR="00E348F0">
        <w:rPr>
          <w:rFonts w:ascii="Courier New" w:hAnsi="Courier New" w:cs="Courier New"/>
        </w:rPr>
        <w:t xml:space="preserve"> it was ultimately decided to not propose any rate mitigation measures in this case. While the Company is sensitive to the financial impact the proposed increase will have on its customers, it believes the potential longer-term downside </w:t>
      </w:r>
      <w:r w:rsidR="00E348F0">
        <w:rPr>
          <w:rFonts w:ascii="Courier New" w:hAnsi="Courier New" w:cs="Courier New"/>
        </w:rPr>
        <w:lastRenderedPageBreak/>
        <w:t>risks outweigh the near-term relief of deferring all or a portion of the requested increase.</w:t>
      </w:r>
      <w:r>
        <w:rPr>
          <w:rFonts w:ascii="Courier New" w:hAnsi="Courier New" w:cs="Courier New"/>
        </w:rPr>
        <w:t xml:space="preserve"> </w:t>
      </w:r>
    </w:p>
    <w:p w14:paraId="63746A46" w14:textId="77777777" w:rsidR="00E348F0" w:rsidRDefault="00E348F0" w:rsidP="00E348F0">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Q.</w:t>
      </w:r>
      <w:r>
        <w:rPr>
          <w:rFonts w:ascii="Courier New" w:hAnsi="Courier New" w:cs="Courier New"/>
        </w:rPr>
        <w:tab/>
        <w:t>What concerns does the Company have with proposing rate mitigation measures in this case?</w:t>
      </w:r>
    </w:p>
    <w:p w14:paraId="0089CAC6" w14:textId="2EC2C3EE" w:rsidR="00E348F0" w:rsidRDefault="00E348F0">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A.</w:t>
      </w:r>
      <w:r>
        <w:rPr>
          <w:rFonts w:ascii="Courier New" w:hAnsi="Courier New" w:cs="Courier New"/>
        </w:rPr>
        <w:tab/>
        <w:t xml:space="preserve">First, the Company believes that customer interests are generally best served by matching cost recovery as closely as possible with the period in which power supply costs are incurred. Additionally, mitigating rate impacts by spreading recovery over multiple years creates the possibility that the deferred collection will result in “rate pancaking” with potential future rate increases, essentially deferring an increase in the current year to create an even larger increase in the future. </w:t>
      </w:r>
    </w:p>
    <w:p w14:paraId="7C13FB6E" w14:textId="3B6ADA01" w:rsidR="00E348F0" w:rsidRDefault="00E348F0">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Q.</w:t>
      </w:r>
      <w:r>
        <w:rPr>
          <w:rFonts w:ascii="Courier New" w:hAnsi="Courier New" w:cs="Courier New"/>
        </w:rPr>
        <w:tab/>
        <w:t xml:space="preserve">Is the Company’s decision not to propose any rate mitigation measures in this case consistent with Commission precedent? </w:t>
      </w:r>
    </w:p>
    <w:p w14:paraId="1940AA26" w14:textId="127CBBC3" w:rsidR="00E348F0" w:rsidRDefault="00E348F0" w:rsidP="00E348F0">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A.</w:t>
      </w:r>
      <w:r>
        <w:rPr>
          <w:rFonts w:ascii="Courier New" w:hAnsi="Courier New" w:cs="Courier New"/>
        </w:rPr>
        <w:tab/>
        <w:t xml:space="preserve">Yes. </w:t>
      </w:r>
      <w:r w:rsidRPr="004A68B9">
        <w:rPr>
          <w:rFonts w:ascii="Courier New" w:hAnsi="Courier New" w:cs="Courier New"/>
        </w:rPr>
        <w:t xml:space="preserve">In considering the use of rate mitigation measures in prior PCA cases, the Commission has repeatedly declined to spread recovery of amounts into subsequent years citing </w:t>
      </w:r>
      <w:r>
        <w:rPr>
          <w:rFonts w:ascii="Courier New" w:hAnsi="Courier New" w:cs="Courier New"/>
        </w:rPr>
        <w:t>concerns surrounding rate pancaking, appropriate matching of costs and recovery, and the overall intent of the PCA mechanism.</w:t>
      </w:r>
      <w:r>
        <w:rPr>
          <w:rStyle w:val="FootnoteReference"/>
          <w:rFonts w:ascii="Courier New" w:hAnsi="Courier New"/>
        </w:rPr>
        <w:footnoteReference w:id="7"/>
      </w:r>
      <w:r>
        <w:rPr>
          <w:rFonts w:ascii="Courier New" w:hAnsi="Courier New" w:cs="Courier New"/>
        </w:rPr>
        <w:t xml:space="preserve"> </w:t>
      </w:r>
    </w:p>
    <w:p w14:paraId="5C1AD997" w14:textId="3A500D27" w:rsidR="00434112" w:rsidRDefault="00434112" w:rsidP="00FA4429">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lastRenderedPageBreak/>
        <w:t>Q.</w:t>
      </w:r>
      <w:r>
        <w:rPr>
          <w:rFonts w:ascii="Courier New" w:hAnsi="Courier New" w:cs="Courier New"/>
        </w:rPr>
        <w:tab/>
        <w:t xml:space="preserve">Would Idaho Power be amenable to implementing rate mitigation measures for the </w:t>
      </w:r>
      <w:r w:rsidR="00202300">
        <w:rPr>
          <w:rFonts w:ascii="Courier New" w:hAnsi="Courier New" w:cs="Courier New"/>
        </w:rPr>
        <w:t>2023</w:t>
      </w:r>
      <w:r>
        <w:rPr>
          <w:rFonts w:ascii="Courier New" w:hAnsi="Courier New" w:cs="Courier New"/>
        </w:rPr>
        <w:t>-</w:t>
      </w:r>
      <w:r w:rsidR="00202300">
        <w:rPr>
          <w:rFonts w:ascii="Courier New" w:hAnsi="Courier New" w:cs="Courier New"/>
        </w:rPr>
        <w:t>2024</w:t>
      </w:r>
      <w:r>
        <w:rPr>
          <w:rFonts w:ascii="Courier New" w:hAnsi="Courier New" w:cs="Courier New"/>
        </w:rPr>
        <w:t xml:space="preserve"> PCA if the Commission determines such measures are appropriate?</w:t>
      </w:r>
    </w:p>
    <w:p w14:paraId="2851ED10" w14:textId="630B9F14" w:rsidR="00434112" w:rsidRDefault="00434112" w:rsidP="00FA4429">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 xml:space="preserve">A. </w:t>
      </w:r>
      <w:r>
        <w:rPr>
          <w:rFonts w:ascii="Courier New" w:hAnsi="Courier New" w:cs="Courier New"/>
        </w:rPr>
        <w:tab/>
      </w:r>
      <w:bookmarkStart w:id="6" w:name="_Hlk100756679"/>
      <w:r w:rsidR="00E348F0">
        <w:rPr>
          <w:rFonts w:ascii="Courier New" w:hAnsi="Courier New" w:cs="Courier New"/>
        </w:rPr>
        <w:t>Yes. While both Idaho Power and the Commission have expressed concerns with rate mitigation measures in the past, the Company would be amenable to discussing such measures in the current filing. A two-year recovery period, for example, would reduce the rate impact from the proposed $</w:t>
      </w:r>
      <w:r w:rsidR="00E11049">
        <w:rPr>
          <w:rFonts w:ascii="Courier New" w:hAnsi="Courier New" w:cs="Courier New"/>
        </w:rPr>
        <w:t>200.2</w:t>
      </w:r>
      <w:r w:rsidR="00E348F0">
        <w:rPr>
          <w:rFonts w:ascii="Courier New" w:hAnsi="Courier New" w:cs="Courier New"/>
        </w:rPr>
        <w:t xml:space="preserve"> million, or </w:t>
      </w:r>
      <w:r w:rsidR="00E11049">
        <w:rPr>
          <w:rFonts w:ascii="Courier New" w:hAnsi="Courier New" w:cs="Courier New"/>
        </w:rPr>
        <w:t>14.68</w:t>
      </w:r>
      <w:r w:rsidR="00E348F0" w:rsidRPr="0049280A">
        <w:rPr>
          <w:rFonts w:ascii="Courier New" w:hAnsi="Courier New" w:cs="Courier New"/>
        </w:rPr>
        <w:t xml:space="preserve"> </w:t>
      </w:r>
      <w:r w:rsidR="00E348F0">
        <w:rPr>
          <w:rFonts w:ascii="Courier New" w:hAnsi="Courier New" w:cs="Courier New"/>
        </w:rPr>
        <w:t>percent increase, to an approximate $</w:t>
      </w:r>
      <w:r w:rsidR="00F149D8">
        <w:rPr>
          <w:rFonts w:ascii="Courier New" w:hAnsi="Courier New" w:cs="Courier New"/>
        </w:rPr>
        <w:t>1</w:t>
      </w:r>
      <w:r w:rsidR="00E348F0">
        <w:rPr>
          <w:rFonts w:ascii="Courier New" w:hAnsi="Courier New" w:cs="Courier New"/>
        </w:rPr>
        <w:t xml:space="preserve">00 million, or slightly more than 7 percent, annual increase in collection spread over two years.  </w:t>
      </w:r>
    </w:p>
    <w:bookmarkEnd w:id="6"/>
    <w:p w14:paraId="373B0C02" w14:textId="77777777" w:rsidR="00D64B0D" w:rsidRPr="004669EC" w:rsidRDefault="00D64B0D" w:rsidP="00D64B0D">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Q.</w:t>
      </w:r>
      <w:r>
        <w:rPr>
          <w:rFonts w:ascii="Courier New" w:hAnsi="Courier New" w:cs="Courier New"/>
        </w:rPr>
        <w:tab/>
      </w:r>
      <w:r w:rsidRPr="004669EC">
        <w:rPr>
          <w:rFonts w:ascii="Courier New" w:hAnsi="Courier New" w:cs="Courier New"/>
        </w:rPr>
        <w:t>Have you prepared a revised Schedule 55 that includes the proposed PCA rates?</w:t>
      </w:r>
    </w:p>
    <w:p w14:paraId="6F487AEC" w14:textId="77777777" w:rsidR="00D64B0D" w:rsidRPr="004669EC" w:rsidRDefault="00D64B0D" w:rsidP="00D64B0D">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A.</w:t>
      </w:r>
      <w:r>
        <w:rPr>
          <w:rFonts w:ascii="Courier New" w:hAnsi="Courier New" w:cs="Courier New"/>
        </w:rPr>
        <w:tab/>
      </w:r>
      <w:r w:rsidRPr="004669EC">
        <w:rPr>
          <w:rFonts w:ascii="Courier New" w:hAnsi="Courier New" w:cs="Courier New"/>
        </w:rPr>
        <w:t>Yes.  Attachment 1 to the Application i</w:t>
      </w:r>
      <w:r>
        <w:rPr>
          <w:rFonts w:ascii="Courier New" w:hAnsi="Courier New" w:cs="Courier New"/>
        </w:rPr>
        <w:t>s a revised Schedule 55 and</w:t>
      </w:r>
      <w:r w:rsidRPr="004669EC">
        <w:rPr>
          <w:rFonts w:ascii="Courier New" w:hAnsi="Courier New" w:cs="Courier New"/>
        </w:rPr>
        <w:t xml:space="preserve"> inc</w:t>
      </w:r>
      <w:r>
        <w:rPr>
          <w:rFonts w:ascii="Courier New" w:hAnsi="Courier New" w:cs="Courier New"/>
        </w:rPr>
        <w:t>ludes the proposed PCA rates in clean</w:t>
      </w:r>
      <w:r w:rsidRPr="004669EC">
        <w:rPr>
          <w:rFonts w:ascii="Courier New" w:hAnsi="Courier New" w:cs="Courier New"/>
        </w:rPr>
        <w:t xml:space="preserve"> </w:t>
      </w:r>
      <w:r>
        <w:rPr>
          <w:rFonts w:ascii="Courier New" w:hAnsi="Courier New" w:cs="Courier New"/>
        </w:rPr>
        <w:t xml:space="preserve">and legislative </w:t>
      </w:r>
      <w:r w:rsidRPr="004669EC">
        <w:rPr>
          <w:rFonts w:ascii="Courier New" w:hAnsi="Courier New" w:cs="Courier New"/>
        </w:rPr>
        <w:t>format</w:t>
      </w:r>
      <w:r w:rsidR="002E34A4">
        <w:rPr>
          <w:rFonts w:ascii="Courier New" w:hAnsi="Courier New" w:cs="Courier New"/>
        </w:rPr>
        <w:t>s.</w:t>
      </w:r>
    </w:p>
    <w:p w14:paraId="066DCCF4" w14:textId="7F77261B" w:rsidR="00E348F0" w:rsidRPr="004669EC" w:rsidRDefault="00E348F0" w:rsidP="00E348F0">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Q.</w:t>
      </w:r>
      <w:r>
        <w:rPr>
          <w:rFonts w:ascii="Courier New" w:hAnsi="Courier New" w:cs="Courier New"/>
        </w:rPr>
        <w:tab/>
        <w:t>Please summarize the Company’s request in this filing.</w:t>
      </w:r>
    </w:p>
    <w:p w14:paraId="643A9890" w14:textId="11C4EED4" w:rsidR="00E0643F" w:rsidRPr="004669EC" w:rsidRDefault="00D64B0D" w:rsidP="00D64B0D">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A.</w:t>
      </w:r>
      <w:r>
        <w:rPr>
          <w:rFonts w:ascii="Courier New" w:hAnsi="Courier New" w:cs="Courier New"/>
        </w:rPr>
        <w:tab/>
      </w:r>
      <w:r w:rsidR="00E348F0">
        <w:rPr>
          <w:rFonts w:ascii="Courier New" w:hAnsi="Courier New" w:cs="Courier New"/>
        </w:rPr>
        <w:t xml:space="preserve">If approved, </w:t>
      </w:r>
      <w:r w:rsidR="00E348F0" w:rsidRPr="005D33DC">
        <w:rPr>
          <w:rFonts w:ascii="Courier New" w:hAnsi="Courier New" w:cs="Courier New"/>
        </w:rPr>
        <w:t xml:space="preserve">the </w:t>
      </w:r>
      <w:r w:rsidR="00E348F0">
        <w:rPr>
          <w:rFonts w:ascii="Courier New" w:hAnsi="Courier New" w:cs="Courier New"/>
        </w:rPr>
        <w:t>2023-2024</w:t>
      </w:r>
      <w:r w:rsidR="00E348F0" w:rsidRPr="005D33DC">
        <w:rPr>
          <w:rFonts w:ascii="Courier New" w:hAnsi="Courier New" w:cs="Courier New"/>
        </w:rPr>
        <w:t xml:space="preserve"> PCA will result in </w:t>
      </w:r>
      <w:r w:rsidR="00E348F0">
        <w:rPr>
          <w:rFonts w:ascii="Courier New" w:hAnsi="Courier New" w:cs="Courier New"/>
        </w:rPr>
        <w:t>an in</w:t>
      </w:r>
      <w:r w:rsidR="00E348F0" w:rsidRPr="005D33DC">
        <w:rPr>
          <w:rFonts w:ascii="Courier New" w:hAnsi="Courier New" w:cs="Courier New"/>
        </w:rPr>
        <w:t>crease in total billed revenue of approximately $</w:t>
      </w:r>
      <w:r w:rsidR="00E11049">
        <w:rPr>
          <w:rFonts w:ascii="Courier New" w:hAnsi="Courier New" w:cs="Courier New"/>
        </w:rPr>
        <w:t>200.2</w:t>
      </w:r>
      <w:r w:rsidR="00E348F0">
        <w:rPr>
          <w:rFonts w:ascii="Courier New" w:hAnsi="Courier New" w:cs="Courier New"/>
        </w:rPr>
        <w:t xml:space="preserve"> </w:t>
      </w:r>
      <w:r w:rsidR="00E348F0" w:rsidRPr="005D33DC">
        <w:rPr>
          <w:rFonts w:ascii="Courier New" w:hAnsi="Courier New" w:cs="Courier New"/>
        </w:rPr>
        <w:t>million, or</w:t>
      </w:r>
      <w:r w:rsidR="00E348F0">
        <w:rPr>
          <w:rFonts w:ascii="Courier New" w:hAnsi="Courier New" w:cs="Courier New"/>
        </w:rPr>
        <w:t xml:space="preserve"> </w:t>
      </w:r>
      <w:r w:rsidR="00E11049">
        <w:rPr>
          <w:rFonts w:ascii="Courier New" w:hAnsi="Courier New" w:cs="Courier New"/>
        </w:rPr>
        <w:t>14.68</w:t>
      </w:r>
      <w:r w:rsidR="00E348F0" w:rsidRPr="00A54DB3">
        <w:rPr>
          <w:rFonts w:ascii="Courier New" w:hAnsi="Courier New" w:cs="Courier New"/>
        </w:rPr>
        <w:t xml:space="preserve"> </w:t>
      </w:r>
      <w:r w:rsidR="00E348F0" w:rsidRPr="005D33DC">
        <w:rPr>
          <w:rFonts w:ascii="Courier New" w:hAnsi="Courier New" w:cs="Courier New"/>
        </w:rPr>
        <w:t>percent.</w:t>
      </w:r>
      <w:r w:rsidR="00CF2DD0" w:rsidRPr="00CF2DD0">
        <w:rPr>
          <w:rFonts w:ascii="Courier New" w:hAnsi="Courier New" w:cs="Courier New"/>
        </w:rPr>
        <w:t xml:space="preserve"> </w:t>
      </w:r>
      <w:r w:rsidR="00CF2DD0" w:rsidRPr="004669EC">
        <w:rPr>
          <w:rFonts w:ascii="Courier New" w:hAnsi="Courier New" w:cs="Courier New"/>
        </w:rPr>
        <w:t>The Commission should approve the Company’s computation of the PCA rates</w:t>
      </w:r>
      <w:r w:rsidR="00CF2DD0">
        <w:rPr>
          <w:rFonts w:ascii="Courier New" w:hAnsi="Courier New" w:cs="Courier New"/>
        </w:rPr>
        <w:t>, t</w:t>
      </w:r>
      <w:r w:rsidR="00CF2DD0" w:rsidRPr="004669EC">
        <w:rPr>
          <w:rFonts w:ascii="Courier New" w:hAnsi="Courier New" w:cs="Courier New"/>
        </w:rPr>
        <w:t xml:space="preserve">he calculation of </w:t>
      </w:r>
      <w:r w:rsidR="00CF2DD0">
        <w:rPr>
          <w:rFonts w:ascii="Courier New" w:hAnsi="Courier New" w:cs="Courier New"/>
        </w:rPr>
        <w:t xml:space="preserve">which </w:t>
      </w:r>
      <w:r w:rsidR="00CF2DD0" w:rsidRPr="004669EC">
        <w:rPr>
          <w:rFonts w:ascii="Courier New" w:hAnsi="Courier New" w:cs="Courier New"/>
        </w:rPr>
        <w:t xml:space="preserve">follows the methodology that was approved in Order Nos. 30715, </w:t>
      </w:r>
      <w:r w:rsidR="00CF2DD0">
        <w:rPr>
          <w:rFonts w:ascii="Courier New" w:hAnsi="Courier New" w:cs="Courier New"/>
        </w:rPr>
        <w:t>33307, and 34071</w:t>
      </w:r>
      <w:r w:rsidR="00CF2DD0" w:rsidRPr="004669EC">
        <w:rPr>
          <w:rFonts w:ascii="Courier New" w:hAnsi="Courier New" w:cs="Courier New"/>
        </w:rPr>
        <w:t>.</w:t>
      </w:r>
    </w:p>
    <w:p w14:paraId="41B41BC0" w14:textId="77777777" w:rsidR="00EA544F" w:rsidRPr="00864420" w:rsidRDefault="003A73EB" w:rsidP="00864420">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Q.</w:t>
      </w:r>
      <w:r>
        <w:rPr>
          <w:rFonts w:ascii="Courier New" w:hAnsi="Courier New" w:cs="Courier New"/>
        </w:rPr>
        <w:tab/>
      </w:r>
      <w:r w:rsidR="00EA544F" w:rsidRPr="00864420">
        <w:rPr>
          <w:rFonts w:ascii="Courier New" w:hAnsi="Courier New" w:cs="Courier New"/>
        </w:rPr>
        <w:t>Does this conclude your testimony?</w:t>
      </w:r>
    </w:p>
    <w:p w14:paraId="64876F22" w14:textId="77777777" w:rsidR="00E0643F" w:rsidRDefault="003A73EB" w:rsidP="000675DE">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lastRenderedPageBreak/>
        <w:t>A.</w:t>
      </w:r>
      <w:r>
        <w:rPr>
          <w:rFonts w:ascii="Courier New" w:hAnsi="Courier New" w:cs="Courier New"/>
        </w:rPr>
        <w:tab/>
      </w:r>
      <w:r w:rsidR="00EA544F" w:rsidRPr="00864420">
        <w:rPr>
          <w:rFonts w:ascii="Courier New" w:hAnsi="Courier New" w:cs="Courier New"/>
        </w:rPr>
        <w:t xml:space="preserve">Yes, it does. </w:t>
      </w:r>
    </w:p>
    <w:p w14:paraId="6833E965" w14:textId="387F7234" w:rsidR="00E0643F" w:rsidRDefault="00E0643F" w:rsidP="000675DE">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w:t>
      </w:r>
    </w:p>
    <w:p w14:paraId="7AF921FF" w14:textId="7F546ED8" w:rsidR="00E0643F" w:rsidRDefault="00E0643F" w:rsidP="000675DE">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w:t>
      </w:r>
    </w:p>
    <w:p w14:paraId="7419D9C7" w14:textId="378C5BC0" w:rsidR="00E0643F" w:rsidRDefault="00E0643F" w:rsidP="000675DE">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w:t>
      </w:r>
    </w:p>
    <w:p w14:paraId="4860F20E" w14:textId="27598716" w:rsidR="00E0643F" w:rsidRDefault="00E0643F" w:rsidP="000675DE">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w:t>
      </w:r>
    </w:p>
    <w:p w14:paraId="156FCD5F" w14:textId="0398BB7E" w:rsidR="00E0643F" w:rsidRDefault="00E0643F" w:rsidP="000675DE">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w:t>
      </w:r>
    </w:p>
    <w:p w14:paraId="299C12D1" w14:textId="10C0A078" w:rsidR="00E0643F" w:rsidRDefault="00E0643F" w:rsidP="000675DE">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w:t>
      </w:r>
    </w:p>
    <w:p w14:paraId="59776596" w14:textId="561A2937" w:rsidR="00E0643F" w:rsidRDefault="00E0643F" w:rsidP="000675DE">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w:t>
      </w:r>
    </w:p>
    <w:p w14:paraId="2C8628EB" w14:textId="10FC272A" w:rsidR="00E0643F" w:rsidRDefault="00E0643F" w:rsidP="000675DE">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w:t>
      </w:r>
    </w:p>
    <w:p w14:paraId="5A4CB63F" w14:textId="655D9BE6" w:rsidR="00E0643F" w:rsidRDefault="00E0643F" w:rsidP="000675DE">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w:t>
      </w:r>
    </w:p>
    <w:p w14:paraId="3339A3BF" w14:textId="17B815FD" w:rsidR="00E0643F" w:rsidRDefault="00E0643F" w:rsidP="000675DE">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w:t>
      </w:r>
    </w:p>
    <w:p w14:paraId="672F3DA3" w14:textId="608F09E7" w:rsidR="00E0643F" w:rsidRDefault="00E0643F" w:rsidP="000675DE">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w:t>
      </w:r>
    </w:p>
    <w:p w14:paraId="71794528" w14:textId="3DDE1B75" w:rsidR="00E0643F" w:rsidRDefault="00E0643F" w:rsidP="000675DE">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w:t>
      </w:r>
    </w:p>
    <w:p w14:paraId="4A49285E" w14:textId="0D562091" w:rsidR="00E0643F" w:rsidRDefault="00E0643F" w:rsidP="000675DE">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w:t>
      </w:r>
    </w:p>
    <w:p w14:paraId="585B7B5B" w14:textId="67E9CBE9" w:rsidR="00E0643F" w:rsidRDefault="00E0643F" w:rsidP="000675DE">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w:t>
      </w:r>
    </w:p>
    <w:p w14:paraId="2C3605D1" w14:textId="3F52DF5D" w:rsidR="00E0643F" w:rsidRDefault="00E0643F" w:rsidP="000675DE">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w:t>
      </w:r>
    </w:p>
    <w:p w14:paraId="5A4BCFE8" w14:textId="4F5E607D" w:rsidR="00E0643F" w:rsidRDefault="00E0643F" w:rsidP="000675DE">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w:t>
      </w:r>
    </w:p>
    <w:p w14:paraId="6201C033" w14:textId="27D4E99F" w:rsidR="00E0643F" w:rsidRDefault="00E0643F" w:rsidP="000675DE">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w:t>
      </w:r>
    </w:p>
    <w:p w14:paraId="2DE18CF2" w14:textId="279B4229" w:rsidR="00E0643F" w:rsidRDefault="00E0643F" w:rsidP="000675DE">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w:t>
      </w:r>
    </w:p>
    <w:p w14:paraId="2B9217E2" w14:textId="51263137" w:rsidR="00E0643F" w:rsidRDefault="00E0643F" w:rsidP="000675DE">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w:t>
      </w:r>
    </w:p>
    <w:p w14:paraId="33A72861" w14:textId="6F0CEAA7" w:rsidR="00E0643F" w:rsidRDefault="00E0643F" w:rsidP="000675DE">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w:t>
      </w:r>
    </w:p>
    <w:p w14:paraId="7B17263D" w14:textId="0EB1126C" w:rsidR="00E0643F" w:rsidRDefault="00E0643F" w:rsidP="000675DE">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w:t>
      </w:r>
    </w:p>
    <w:p w14:paraId="52C59C8C" w14:textId="3058C5B2" w:rsidR="00E0643F" w:rsidRDefault="00E0643F" w:rsidP="000675DE">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w:t>
      </w:r>
    </w:p>
    <w:p w14:paraId="35996E71" w14:textId="75FFBFB8" w:rsidR="000675DE" w:rsidRDefault="00E0643F" w:rsidP="000675DE">
      <w:pPr>
        <w:pStyle w:val="Testimony"/>
        <w:widowControl/>
        <w:tabs>
          <w:tab w:val="clear" w:pos="2160"/>
          <w:tab w:val="left" w:pos="1980"/>
        </w:tabs>
        <w:spacing w:line="456" w:lineRule="auto"/>
        <w:rPr>
          <w:rFonts w:ascii="Courier New" w:hAnsi="Courier New" w:cs="Courier New"/>
        </w:rPr>
      </w:pPr>
      <w:r>
        <w:rPr>
          <w:rFonts w:ascii="Courier New" w:hAnsi="Courier New" w:cs="Courier New"/>
        </w:rPr>
        <w:t>//</w:t>
      </w:r>
      <w:r w:rsidR="000675DE">
        <w:rPr>
          <w:rFonts w:ascii="Courier New" w:hAnsi="Courier New" w:cs="Courier New"/>
        </w:rPr>
        <w:br w:type="page"/>
      </w:r>
    </w:p>
    <w:p w14:paraId="5A2EA8C9" w14:textId="77777777" w:rsidR="000675DE" w:rsidRPr="00DC72E1" w:rsidRDefault="000675DE" w:rsidP="000675DE">
      <w:pPr>
        <w:pStyle w:val="Testimony"/>
        <w:widowControl/>
        <w:tabs>
          <w:tab w:val="clear" w:pos="2160"/>
          <w:tab w:val="left" w:pos="1980"/>
        </w:tabs>
        <w:spacing w:line="456" w:lineRule="auto"/>
        <w:ind w:firstLine="0"/>
        <w:jc w:val="center"/>
        <w:rPr>
          <w:rFonts w:ascii="Courier New" w:hAnsi="Courier New" w:cs="Courier New"/>
          <w:b/>
        </w:rPr>
      </w:pPr>
      <w:r w:rsidRPr="00DC72E1">
        <w:rPr>
          <w:rFonts w:ascii="Courier New" w:hAnsi="Courier New" w:cs="Courier New"/>
          <w:b/>
        </w:rPr>
        <w:lastRenderedPageBreak/>
        <w:t>DECLARATION OF</w:t>
      </w:r>
      <w:r>
        <w:rPr>
          <w:rFonts w:ascii="Courier New" w:hAnsi="Courier New" w:cs="Courier New"/>
          <w:b/>
        </w:rPr>
        <w:t xml:space="preserve"> </w:t>
      </w:r>
      <w:r w:rsidR="00840105">
        <w:rPr>
          <w:rFonts w:ascii="Courier New" w:hAnsi="Courier New" w:cs="Courier New"/>
          <w:b/>
        </w:rPr>
        <w:t>JESSICA G. BRADY</w:t>
      </w:r>
    </w:p>
    <w:p w14:paraId="4B0E08A7" w14:textId="77777777" w:rsidR="000675DE" w:rsidRPr="00DC72E1" w:rsidRDefault="000675DE" w:rsidP="000675DE">
      <w:pPr>
        <w:pStyle w:val="Testimony"/>
        <w:tabs>
          <w:tab w:val="left" w:pos="1080"/>
        </w:tabs>
        <w:spacing w:line="456" w:lineRule="auto"/>
        <w:ind w:firstLine="0"/>
        <w:rPr>
          <w:rFonts w:ascii="Courier New" w:hAnsi="Courier New" w:cs="Courier New"/>
        </w:rPr>
      </w:pPr>
      <w:r>
        <w:rPr>
          <w:rFonts w:ascii="Courier New" w:hAnsi="Courier New" w:cs="Courier New"/>
        </w:rPr>
        <w:tab/>
      </w:r>
      <w:r w:rsidRPr="00DC72E1">
        <w:rPr>
          <w:rFonts w:ascii="Courier New" w:hAnsi="Courier New" w:cs="Courier New"/>
        </w:rPr>
        <w:t>I,</w:t>
      </w:r>
      <w:r>
        <w:rPr>
          <w:rFonts w:ascii="Courier New" w:hAnsi="Courier New" w:cs="Courier New"/>
        </w:rPr>
        <w:t xml:space="preserve"> </w:t>
      </w:r>
      <w:r w:rsidR="00840105">
        <w:rPr>
          <w:rFonts w:ascii="Courier New" w:hAnsi="Courier New" w:cs="Courier New"/>
        </w:rPr>
        <w:t>Jessica G. Brady</w:t>
      </w:r>
      <w:r w:rsidRPr="00DC72E1">
        <w:rPr>
          <w:rFonts w:ascii="Courier New" w:hAnsi="Courier New" w:cs="Courier New"/>
        </w:rPr>
        <w:t>, declare under penalty of perjury under the laws of the state of</w:t>
      </w:r>
      <w:r>
        <w:rPr>
          <w:rFonts w:ascii="Courier New" w:hAnsi="Courier New" w:cs="Courier New"/>
        </w:rPr>
        <w:t xml:space="preserve"> Idaho</w:t>
      </w:r>
      <w:r w:rsidRPr="00DC72E1">
        <w:rPr>
          <w:rFonts w:ascii="Courier New" w:hAnsi="Courier New" w:cs="Courier New"/>
        </w:rPr>
        <w:t>:</w:t>
      </w:r>
    </w:p>
    <w:p w14:paraId="746EBC24" w14:textId="77777777" w:rsidR="000675DE" w:rsidRPr="00DC72E1" w:rsidRDefault="000675DE" w:rsidP="000675DE">
      <w:pPr>
        <w:pStyle w:val="Testimony"/>
        <w:tabs>
          <w:tab w:val="left" w:pos="1080"/>
        </w:tabs>
        <w:spacing w:line="456" w:lineRule="auto"/>
        <w:ind w:firstLine="0"/>
        <w:rPr>
          <w:rFonts w:ascii="Courier New" w:hAnsi="Courier New" w:cs="Courier New"/>
        </w:rPr>
      </w:pPr>
      <w:r>
        <w:rPr>
          <w:rFonts w:ascii="Courier New" w:hAnsi="Courier New" w:cs="Courier New"/>
        </w:rPr>
        <w:tab/>
      </w:r>
      <w:r w:rsidRPr="00DC72E1">
        <w:rPr>
          <w:rFonts w:ascii="Courier New" w:hAnsi="Courier New" w:cs="Courier New"/>
        </w:rPr>
        <w:t>1.</w:t>
      </w:r>
      <w:r w:rsidRPr="00DC72E1">
        <w:rPr>
          <w:rFonts w:ascii="Courier New" w:hAnsi="Courier New" w:cs="Courier New"/>
        </w:rPr>
        <w:tab/>
        <w:t>My name is</w:t>
      </w:r>
      <w:r>
        <w:rPr>
          <w:rFonts w:ascii="Courier New" w:hAnsi="Courier New" w:cs="Courier New"/>
        </w:rPr>
        <w:t xml:space="preserve"> </w:t>
      </w:r>
      <w:r w:rsidR="00840105">
        <w:rPr>
          <w:rFonts w:ascii="Courier New" w:hAnsi="Courier New" w:cs="Courier New"/>
        </w:rPr>
        <w:t>Jessica G. Brady</w:t>
      </w:r>
      <w:r w:rsidRPr="00DC72E1">
        <w:rPr>
          <w:rFonts w:ascii="Courier New" w:hAnsi="Courier New" w:cs="Courier New"/>
        </w:rPr>
        <w:t xml:space="preserve">.  I am employed by Idaho Power Company as </w:t>
      </w:r>
      <w:r>
        <w:rPr>
          <w:rFonts w:ascii="Courier New" w:hAnsi="Courier New" w:cs="Courier New"/>
        </w:rPr>
        <w:t xml:space="preserve">a Regulatory </w:t>
      </w:r>
      <w:r w:rsidR="00840105">
        <w:rPr>
          <w:rFonts w:ascii="Courier New" w:hAnsi="Courier New" w:cs="Courier New"/>
        </w:rPr>
        <w:t>Analyst</w:t>
      </w:r>
      <w:r>
        <w:rPr>
          <w:rFonts w:ascii="Courier New" w:hAnsi="Courier New" w:cs="Courier New"/>
        </w:rPr>
        <w:t xml:space="preserve"> in the </w:t>
      </w:r>
      <w:r w:rsidRPr="00DC72E1">
        <w:rPr>
          <w:rFonts w:ascii="Courier New" w:hAnsi="Courier New" w:cs="Courier New"/>
        </w:rPr>
        <w:t xml:space="preserve">Regulatory Affairs Department. </w:t>
      </w:r>
    </w:p>
    <w:p w14:paraId="5734AA3C" w14:textId="77777777" w:rsidR="000675DE" w:rsidRDefault="000675DE" w:rsidP="000675DE">
      <w:pPr>
        <w:pStyle w:val="Testimony"/>
        <w:tabs>
          <w:tab w:val="left" w:pos="1080"/>
        </w:tabs>
        <w:spacing w:line="456" w:lineRule="auto"/>
        <w:ind w:firstLine="0"/>
        <w:rPr>
          <w:rFonts w:ascii="Courier New" w:hAnsi="Courier New" w:cs="Courier New"/>
        </w:rPr>
      </w:pPr>
      <w:r>
        <w:rPr>
          <w:rFonts w:ascii="Courier New" w:hAnsi="Courier New" w:cs="Courier New"/>
        </w:rPr>
        <w:tab/>
      </w:r>
      <w:r w:rsidRPr="00DC72E1">
        <w:rPr>
          <w:rFonts w:ascii="Courier New" w:hAnsi="Courier New" w:cs="Courier New"/>
        </w:rPr>
        <w:t>2.</w:t>
      </w:r>
      <w:r w:rsidRPr="00DC72E1">
        <w:rPr>
          <w:rFonts w:ascii="Courier New" w:hAnsi="Courier New" w:cs="Courier New"/>
        </w:rPr>
        <w:tab/>
        <w:t xml:space="preserve">On behalf of Idaho Power, I </w:t>
      </w:r>
      <w:r>
        <w:rPr>
          <w:rFonts w:ascii="Courier New" w:hAnsi="Courier New" w:cs="Courier New"/>
        </w:rPr>
        <w:t>present this pre-filed direct t</w:t>
      </w:r>
      <w:r w:rsidRPr="00DC72E1">
        <w:rPr>
          <w:rFonts w:ascii="Courier New" w:hAnsi="Courier New" w:cs="Courier New"/>
        </w:rPr>
        <w:t xml:space="preserve">estimony </w:t>
      </w:r>
      <w:r>
        <w:rPr>
          <w:rFonts w:ascii="Courier New" w:hAnsi="Courier New" w:cs="Courier New"/>
        </w:rPr>
        <w:t>and Exhibit Nos. 1-</w:t>
      </w:r>
      <w:r w:rsidR="00182412">
        <w:rPr>
          <w:rFonts w:ascii="Courier New" w:hAnsi="Courier New" w:cs="Courier New"/>
        </w:rPr>
        <w:t>4</w:t>
      </w:r>
      <w:r>
        <w:rPr>
          <w:rFonts w:ascii="Courier New" w:hAnsi="Courier New" w:cs="Courier New"/>
        </w:rPr>
        <w:t xml:space="preserve"> </w:t>
      </w:r>
      <w:r w:rsidRPr="00DC72E1">
        <w:rPr>
          <w:rFonts w:ascii="Courier New" w:hAnsi="Courier New" w:cs="Courier New"/>
        </w:rPr>
        <w:t xml:space="preserve">in this </w:t>
      </w:r>
      <w:r>
        <w:rPr>
          <w:rFonts w:ascii="Courier New" w:hAnsi="Courier New" w:cs="Courier New"/>
        </w:rPr>
        <w:t>matter.</w:t>
      </w:r>
    </w:p>
    <w:p w14:paraId="1A73B510" w14:textId="77777777" w:rsidR="000675DE" w:rsidRPr="00DC72E1" w:rsidRDefault="000675DE" w:rsidP="000675DE">
      <w:pPr>
        <w:pStyle w:val="Testimony"/>
        <w:tabs>
          <w:tab w:val="left" w:pos="1080"/>
        </w:tabs>
        <w:spacing w:line="456" w:lineRule="auto"/>
        <w:ind w:firstLine="0"/>
        <w:rPr>
          <w:rFonts w:ascii="Courier New" w:hAnsi="Courier New" w:cs="Courier New"/>
        </w:rPr>
      </w:pPr>
      <w:r>
        <w:rPr>
          <w:rFonts w:ascii="Courier New" w:hAnsi="Courier New" w:cs="Courier New"/>
        </w:rPr>
        <w:tab/>
        <w:t>3.</w:t>
      </w:r>
      <w:r>
        <w:rPr>
          <w:rFonts w:ascii="Courier New" w:hAnsi="Courier New" w:cs="Courier New"/>
        </w:rPr>
        <w:tab/>
        <w:t>T</w:t>
      </w:r>
      <w:r w:rsidRPr="00DC72E1">
        <w:rPr>
          <w:rFonts w:ascii="Courier New" w:hAnsi="Courier New" w:cs="Courier New"/>
        </w:rPr>
        <w:t xml:space="preserve">o the best of my knowledge, my </w:t>
      </w:r>
      <w:r>
        <w:rPr>
          <w:rFonts w:ascii="Courier New" w:hAnsi="Courier New" w:cs="Courier New"/>
        </w:rPr>
        <w:t xml:space="preserve">pre-filed direct </w:t>
      </w:r>
      <w:r w:rsidRPr="00DC72E1">
        <w:rPr>
          <w:rFonts w:ascii="Courier New" w:hAnsi="Courier New" w:cs="Courier New"/>
        </w:rPr>
        <w:t xml:space="preserve">testimony </w:t>
      </w:r>
      <w:r>
        <w:rPr>
          <w:rFonts w:ascii="Courier New" w:hAnsi="Courier New" w:cs="Courier New"/>
        </w:rPr>
        <w:t xml:space="preserve">and exhibits are </w:t>
      </w:r>
      <w:r w:rsidRPr="00DC72E1">
        <w:rPr>
          <w:rFonts w:ascii="Courier New" w:hAnsi="Courier New" w:cs="Courier New"/>
        </w:rPr>
        <w:t>true and accurate.</w:t>
      </w:r>
    </w:p>
    <w:p w14:paraId="63F5E48D" w14:textId="77777777" w:rsidR="000675DE" w:rsidRPr="00DC72E1" w:rsidRDefault="000675DE" w:rsidP="000675DE">
      <w:pPr>
        <w:pStyle w:val="Testimony"/>
        <w:tabs>
          <w:tab w:val="left" w:pos="1080"/>
        </w:tabs>
        <w:spacing w:line="456" w:lineRule="auto"/>
        <w:ind w:firstLine="0"/>
        <w:rPr>
          <w:rFonts w:ascii="Courier New" w:hAnsi="Courier New" w:cs="Courier New"/>
        </w:rPr>
      </w:pPr>
      <w:r>
        <w:rPr>
          <w:rFonts w:ascii="Courier New" w:hAnsi="Courier New" w:cs="Courier New"/>
        </w:rPr>
        <w:tab/>
      </w:r>
      <w:r w:rsidRPr="00DC72E1">
        <w:rPr>
          <w:rFonts w:ascii="Courier New" w:hAnsi="Courier New" w:cs="Courier New"/>
        </w:rPr>
        <w:t xml:space="preserve">I hereby declare that the above statement is true to the best of my knowledge and belief, and that I understand it is made for use as evidence before the </w:t>
      </w:r>
      <w:r>
        <w:rPr>
          <w:rFonts w:ascii="Courier New" w:hAnsi="Courier New" w:cs="Courier New"/>
        </w:rPr>
        <w:t xml:space="preserve">Idaho Public Utilities </w:t>
      </w:r>
      <w:r w:rsidRPr="00DC72E1">
        <w:rPr>
          <w:rFonts w:ascii="Courier New" w:hAnsi="Courier New" w:cs="Courier New"/>
        </w:rPr>
        <w:t>Commission and is subject to penalty for perjury.</w:t>
      </w:r>
    </w:p>
    <w:p w14:paraId="6B4DE8D6" w14:textId="7764C875" w:rsidR="000675DE" w:rsidRPr="00DC72E1" w:rsidRDefault="000675DE" w:rsidP="000675DE">
      <w:pPr>
        <w:pStyle w:val="Testimony"/>
        <w:tabs>
          <w:tab w:val="left" w:pos="1080"/>
        </w:tabs>
        <w:spacing w:line="456" w:lineRule="auto"/>
        <w:ind w:firstLine="0"/>
        <w:rPr>
          <w:rFonts w:ascii="Courier New" w:hAnsi="Courier New" w:cs="Courier New"/>
        </w:rPr>
      </w:pPr>
      <w:r>
        <w:rPr>
          <w:rFonts w:ascii="Courier New" w:hAnsi="Courier New" w:cs="Courier New"/>
        </w:rPr>
        <w:tab/>
      </w:r>
      <w:r w:rsidRPr="00DC72E1">
        <w:rPr>
          <w:rFonts w:ascii="Courier New" w:hAnsi="Courier New" w:cs="Courier New"/>
        </w:rPr>
        <w:t xml:space="preserve">SIGNED this </w:t>
      </w:r>
      <w:r>
        <w:rPr>
          <w:rFonts w:ascii="Courier New" w:hAnsi="Courier New" w:cs="Courier New"/>
        </w:rPr>
        <w:t>1</w:t>
      </w:r>
      <w:r w:rsidR="008608D4">
        <w:rPr>
          <w:rFonts w:ascii="Courier New" w:hAnsi="Courier New" w:cs="Courier New"/>
        </w:rPr>
        <w:t>4</w:t>
      </w:r>
      <w:r w:rsidRPr="00DC72E1">
        <w:rPr>
          <w:rFonts w:ascii="Courier New" w:hAnsi="Courier New" w:cs="Courier New"/>
          <w:vertAlign w:val="superscript"/>
        </w:rPr>
        <w:t>th</w:t>
      </w:r>
      <w:r>
        <w:rPr>
          <w:rFonts w:ascii="Courier New" w:hAnsi="Courier New" w:cs="Courier New"/>
        </w:rPr>
        <w:t xml:space="preserve"> </w:t>
      </w:r>
      <w:r w:rsidRPr="00DC72E1">
        <w:rPr>
          <w:rFonts w:ascii="Courier New" w:hAnsi="Courier New" w:cs="Courier New"/>
        </w:rPr>
        <w:t xml:space="preserve">day of April </w:t>
      </w:r>
      <w:r w:rsidR="00202300">
        <w:rPr>
          <w:rFonts w:ascii="Courier New" w:hAnsi="Courier New" w:cs="Courier New"/>
        </w:rPr>
        <w:t>2023</w:t>
      </w:r>
      <w:r w:rsidRPr="00DC72E1">
        <w:rPr>
          <w:rFonts w:ascii="Courier New" w:hAnsi="Courier New" w:cs="Courier New"/>
        </w:rPr>
        <w:t>, at Boise, Idaho.</w:t>
      </w:r>
    </w:p>
    <w:p w14:paraId="26EA3E00" w14:textId="77777777" w:rsidR="000675DE" w:rsidRPr="00DC72E1" w:rsidRDefault="00280436" w:rsidP="000675DE">
      <w:pPr>
        <w:pStyle w:val="Testimony"/>
        <w:tabs>
          <w:tab w:val="left" w:pos="1980"/>
        </w:tabs>
        <w:spacing w:line="456" w:lineRule="auto"/>
        <w:ind w:firstLine="0"/>
        <w:rPr>
          <w:rFonts w:ascii="Courier New" w:hAnsi="Courier New" w:cs="Courier New"/>
        </w:rPr>
      </w:pPr>
      <w:r>
        <w:rPr>
          <w:noProof/>
        </w:rPr>
        <w:drawing>
          <wp:anchor distT="0" distB="0" distL="114300" distR="114300" simplePos="0" relativeHeight="251658240" behindDoc="0" locked="0" layoutInCell="1" allowOverlap="1" wp14:anchorId="11384C69" wp14:editId="37D8057A">
            <wp:simplePos x="0" y="0"/>
            <wp:positionH relativeFrom="column">
              <wp:posOffset>2475865</wp:posOffset>
            </wp:positionH>
            <wp:positionV relativeFrom="paragraph">
              <wp:posOffset>38100</wp:posOffset>
            </wp:positionV>
            <wp:extent cx="1476375" cy="400050"/>
            <wp:effectExtent l="0" t="0" r="9525" b="0"/>
            <wp:wrapNone/>
            <wp:docPr id="11" name="Picture 10">
              <a:extLst xmlns:a="http://schemas.openxmlformats.org/drawingml/2006/main">
                <a:ext uri="{FF2B5EF4-FFF2-40B4-BE49-F238E27FC236}">
                  <a16:creationId xmlns:a16="http://schemas.microsoft.com/office/drawing/2014/main" id="{00000000-0008-0000-0300-00000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00000000-0008-0000-0300-00000B000000}"/>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76375" cy="400050"/>
                    </a:xfrm>
                    <a:prstGeom prst="rect">
                      <a:avLst/>
                    </a:prstGeom>
                  </pic:spPr>
                </pic:pic>
              </a:graphicData>
            </a:graphic>
            <wp14:sizeRelH relativeFrom="margin">
              <wp14:pctWidth>0</wp14:pctWidth>
            </wp14:sizeRelH>
            <wp14:sizeRelV relativeFrom="margin">
              <wp14:pctHeight>0</wp14:pctHeight>
            </wp14:sizeRelV>
          </wp:anchor>
        </w:drawing>
      </w:r>
    </w:p>
    <w:p w14:paraId="03593AFA" w14:textId="77777777" w:rsidR="00EA544F" w:rsidRPr="00864420" w:rsidRDefault="000675DE" w:rsidP="000675DE">
      <w:pPr>
        <w:pStyle w:val="Testimony"/>
        <w:tabs>
          <w:tab w:val="left" w:pos="1980"/>
        </w:tabs>
        <w:spacing w:line="240" w:lineRule="auto"/>
        <w:ind w:firstLine="0"/>
        <w:rPr>
          <w:rFonts w:ascii="Courier New" w:hAnsi="Courier New" w:cs="Courier New"/>
        </w:rPr>
      </w:pPr>
      <w:r w:rsidRPr="00DC72E1">
        <w:rPr>
          <w:rFonts w:ascii="Courier New" w:hAnsi="Courier New" w:cs="Courier New"/>
        </w:rPr>
        <w:tab/>
      </w:r>
      <w:r w:rsidRPr="00DC72E1">
        <w:rPr>
          <w:rFonts w:ascii="Courier New" w:hAnsi="Courier New" w:cs="Courier New"/>
        </w:rPr>
        <w:tab/>
      </w:r>
      <w:r w:rsidRPr="00DC72E1">
        <w:rPr>
          <w:rFonts w:ascii="Courier New" w:hAnsi="Courier New" w:cs="Courier New"/>
        </w:rPr>
        <w:tab/>
        <w:t>Signed: _________________________</w:t>
      </w:r>
    </w:p>
    <w:sectPr w:rsidR="00EA544F" w:rsidRPr="00864420" w:rsidSect="001A1B8A">
      <w:footerReference w:type="default" r:id="rId20"/>
      <w:pgSz w:w="12240" w:h="15840" w:code="1"/>
      <w:pgMar w:top="1440" w:right="1440" w:bottom="1440" w:left="2160" w:header="720" w:footer="720" w:gutter="0"/>
      <w:lnNumType w:countBy="1"/>
      <w:pgNumType w:start="2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637C3" w14:textId="77777777" w:rsidR="00B26C36" w:rsidRDefault="00B26C36">
      <w:r>
        <w:separator/>
      </w:r>
    </w:p>
  </w:endnote>
  <w:endnote w:type="continuationSeparator" w:id="0">
    <w:p w14:paraId="497369FC" w14:textId="77777777" w:rsidR="00B26C36" w:rsidRDefault="00B2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3EC1" w14:textId="77777777" w:rsidR="003B260A" w:rsidRPr="00E5579E" w:rsidRDefault="003B260A" w:rsidP="00E5579E">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4416" w14:textId="77777777" w:rsidR="003B260A" w:rsidRPr="006C4467" w:rsidRDefault="003B260A" w:rsidP="00E5579E">
    <w:pPr>
      <w:pStyle w:val="Footer"/>
    </w:pPr>
    <w:r w:rsidRPr="006C446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86C0" w14:textId="77777777" w:rsidR="003B260A" w:rsidRPr="00E5579E" w:rsidRDefault="003B260A" w:rsidP="00E5579E">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3827" w14:textId="3CFC0BB9" w:rsidR="003B260A" w:rsidRPr="005D33DC" w:rsidRDefault="003B260A" w:rsidP="000127C9">
    <w:pPr>
      <w:tabs>
        <w:tab w:val="left" w:pos="5850"/>
        <w:tab w:val="right" w:pos="8640"/>
      </w:tabs>
      <w:suppressAutoHyphens/>
      <w:rPr>
        <w:rFonts w:ascii="Courier New" w:hAnsi="Courier New" w:cs="Courier New"/>
      </w:rPr>
    </w:pPr>
    <w:r w:rsidRPr="006C4467">
      <w:tab/>
    </w:r>
    <w:r>
      <w:rPr>
        <w:rFonts w:ascii="Courier New" w:hAnsi="Courier New" w:cs="Courier New"/>
      </w:rPr>
      <w:t>BRADY</w:t>
    </w:r>
    <w:r w:rsidRPr="005D33DC">
      <w:rPr>
        <w:rFonts w:ascii="Courier New" w:hAnsi="Courier New" w:cs="Courier New"/>
      </w:rPr>
      <w:t>, DI</w:t>
    </w:r>
    <w:r w:rsidR="001A1B8A">
      <w:rPr>
        <w:rFonts w:ascii="Courier New" w:hAnsi="Courier New" w:cs="Courier New"/>
      </w:rPr>
      <w:t xml:space="preserve"> </w:t>
    </w:r>
    <w:r w:rsidRPr="005D33DC">
      <w:rPr>
        <w:rFonts w:ascii="Courier New" w:hAnsi="Courier New" w:cs="Courier New"/>
      </w:rPr>
      <w:tab/>
    </w:r>
    <w:r w:rsidRPr="005D33DC">
      <w:rPr>
        <w:rStyle w:val="PageNumber"/>
        <w:rFonts w:ascii="Courier New" w:hAnsi="Courier New" w:cs="Courier New"/>
      </w:rPr>
      <w:fldChar w:fldCharType="begin"/>
    </w:r>
    <w:r w:rsidRPr="005D33DC">
      <w:rPr>
        <w:rStyle w:val="PageNumber"/>
        <w:rFonts w:ascii="Courier New" w:hAnsi="Courier New" w:cs="Courier New"/>
      </w:rPr>
      <w:instrText xml:space="preserve"> PAGE </w:instrText>
    </w:r>
    <w:r w:rsidRPr="005D33DC">
      <w:rPr>
        <w:rStyle w:val="PageNumber"/>
        <w:rFonts w:ascii="Courier New" w:hAnsi="Courier New" w:cs="Courier New"/>
      </w:rPr>
      <w:fldChar w:fldCharType="separate"/>
    </w:r>
    <w:r>
      <w:rPr>
        <w:rStyle w:val="PageNumber"/>
        <w:rFonts w:ascii="Courier New" w:hAnsi="Courier New" w:cs="Courier New"/>
        <w:noProof/>
      </w:rPr>
      <w:t>24</w:t>
    </w:r>
    <w:r w:rsidRPr="005D33DC">
      <w:rPr>
        <w:rStyle w:val="PageNumber"/>
        <w:rFonts w:ascii="Courier New" w:hAnsi="Courier New" w:cs="Courier New"/>
      </w:rPr>
      <w:fldChar w:fldCharType="end"/>
    </w:r>
  </w:p>
  <w:p w14:paraId="2F9FF182" w14:textId="77777777" w:rsidR="003B260A" w:rsidRPr="005D33DC" w:rsidRDefault="003B260A" w:rsidP="000127C9">
    <w:pPr>
      <w:tabs>
        <w:tab w:val="left" w:pos="5850"/>
        <w:tab w:val="right" w:pos="8640"/>
      </w:tabs>
      <w:suppressAutoHyphens/>
      <w:jc w:val="both"/>
      <w:rPr>
        <w:rFonts w:ascii="Courier New" w:hAnsi="Courier New" w:cs="Courier New"/>
      </w:rPr>
    </w:pPr>
    <w:r w:rsidRPr="005D33DC">
      <w:rPr>
        <w:rFonts w:ascii="Courier New" w:hAnsi="Courier New" w:cs="Courier New"/>
      </w:rPr>
      <w:tab/>
      <w:t>Idaho Power Company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7D23" w14:textId="3F384CA3" w:rsidR="001A1B8A" w:rsidRPr="005D33DC" w:rsidRDefault="001A1B8A" w:rsidP="000127C9">
    <w:pPr>
      <w:tabs>
        <w:tab w:val="left" w:pos="5850"/>
        <w:tab w:val="right" w:pos="8640"/>
      </w:tabs>
      <w:suppressAutoHyphens/>
      <w:rPr>
        <w:rFonts w:ascii="Courier New" w:hAnsi="Courier New" w:cs="Courier New"/>
      </w:rPr>
    </w:pPr>
    <w:r w:rsidRPr="006C4467">
      <w:tab/>
    </w:r>
    <w:r>
      <w:rPr>
        <w:rFonts w:ascii="Courier New" w:hAnsi="Courier New" w:cs="Courier New"/>
      </w:rPr>
      <w:t>BRADY</w:t>
    </w:r>
    <w:r w:rsidRPr="005D33DC">
      <w:rPr>
        <w:rFonts w:ascii="Courier New" w:hAnsi="Courier New" w:cs="Courier New"/>
      </w:rPr>
      <w:t>, DI</w:t>
    </w:r>
    <w:r>
      <w:rPr>
        <w:rFonts w:ascii="Courier New" w:hAnsi="Courier New" w:cs="Courier New"/>
      </w:rPr>
      <w:t xml:space="preserve"> REVISED</w:t>
    </w:r>
    <w:r w:rsidRPr="005D33DC">
      <w:rPr>
        <w:rFonts w:ascii="Courier New" w:hAnsi="Courier New" w:cs="Courier New"/>
      </w:rPr>
      <w:tab/>
    </w:r>
    <w:r w:rsidRPr="005D33DC">
      <w:rPr>
        <w:rStyle w:val="PageNumber"/>
        <w:rFonts w:ascii="Courier New" w:hAnsi="Courier New" w:cs="Courier New"/>
      </w:rPr>
      <w:fldChar w:fldCharType="begin"/>
    </w:r>
    <w:r w:rsidRPr="005D33DC">
      <w:rPr>
        <w:rStyle w:val="PageNumber"/>
        <w:rFonts w:ascii="Courier New" w:hAnsi="Courier New" w:cs="Courier New"/>
      </w:rPr>
      <w:instrText xml:space="preserve"> PAGE </w:instrText>
    </w:r>
    <w:r w:rsidRPr="005D33DC">
      <w:rPr>
        <w:rStyle w:val="PageNumber"/>
        <w:rFonts w:ascii="Courier New" w:hAnsi="Courier New" w:cs="Courier New"/>
      </w:rPr>
      <w:fldChar w:fldCharType="separate"/>
    </w:r>
    <w:r>
      <w:rPr>
        <w:rStyle w:val="PageNumber"/>
        <w:rFonts w:ascii="Courier New" w:hAnsi="Courier New" w:cs="Courier New"/>
        <w:noProof/>
      </w:rPr>
      <w:t>24</w:t>
    </w:r>
    <w:r w:rsidRPr="005D33DC">
      <w:rPr>
        <w:rStyle w:val="PageNumber"/>
        <w:rFonts w:ascii="Courier New" w:hAnsi="Courier New" w:cs="Courier New"/>
      </w:rPr>
      <w:fldChar w:fldCharType="end"/>
    </w:r>
  </w:p>
  <w:p w14:paraId="27BB6AA1" w14:textId="77777777" w:rsidR="001A1B8A" w:rsidRPr="005D33DC" w:rsidRDefault="001A1B8A" w:rsidP="000127C9">
    <w:pPr>
      <w:tabs>
        <w:tab w:val="left" w:pos="5850"/>
        <w:tab w:val="right" w:pos="8640"/>
      </w:tabs>
      <w:suppressAutoHyphens/>
      <w:jc w:val="both"/>
      <w:rPr>
        <w:rFonts w:ascii="Courier New" w:hAnsi="Courier New" w:cs="Courier New"/>
      </w:rPr>
    </w:pPr>
    <w:r w:rsidRPr="005D33DC">
      <w:rPr>
        <w:rFonts w:ascii="Courier New" w:hAnsi="Courier New" w:cs="Courier New"/>
      </w:rPr>
      <w:tab/>
      <w:t>Idaho Power Company</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9F0E" w14:textId="52A05A8D" w:rsidR="001A1B8A" w:rsidRPr="005D33DC" w:rsidRDefault="001A1B8A" w:rsidP="000127C9">
    <w:pPr>
      <w:tabs>
        <w:tab w:val="left" w:pos="5850"/>
        <w:tab w:val="right" w:pos="8640"/>
      </w:tabs>
      <w:suppressAutoHyphens/>
      <w:rPr>
        <w:rFonts w:ascii="Courier New" w:hAnsi="Courier New" w:cs="Courier New"/>
      </w:rPr>
    </w:pPr>
    <w:r w:rsidRPr="006C4467">
      <w:tab/>
    </w:r>
    <w:r>
      <w:rPr>
        <w:rFonts w:ascii="Courier New" w:hAnsi="Courier New" w:cs="Courier New"/>
      </w:rPr>
      <w:t>BRADY</w:t>
    </w:r>
    <w:r w:rsidRPr="005D33DC">
      <w:rPr>
        <w:rFonts w:ascii="Courier New" w:hAnsi="Courier New" w:cs="Courier New"/>
      </w:rPr>
      <w:t>, DI</w:t>
    </w:r>
    <w:r w:rsidRPr="005D33DC">
      <w:rPr>
        <w:rFonts w:ascii="Courier New" w:hAnsi="Courier New" w:cs="Courier New"/>
      </w:rPr>
      <w:tab/>
    </w:r>
    <w:r w:rsidRPr="005D33DC">
      <w:rPr>
        <w:rStyle w:val="PageNumber"/>
        <w:rFonts w:ascii="Courier New" w:hAnsi="Courier New" w:cs="Courier New"/>
      </w:rPr>
      <w:fldChar w:fldCharType="begin"/>
    </w:r>
    <w:r w:rsidRPr="005D33DC">
      <w:rPr>
        <w:rStyle w:val="PageNumber"/>
        <w:rFonts w:ascii="Courier New" w:hAnsi="Courier New" w:cs="Courier New"/>
      </w:rPr>
      <w:instrText xml:space="preserve"> PAGE </w:instrText>
    </w:r>
    <w:r w:rsidRPr="005D33DC">
      <w:rPr>
        <w:rStyle w:val="PageNumber"/>
        <w:rFonts w:ascii="Courier New" w:hAnsi="Courier New" w:cs="Courier New"/>
      </w:rPr>
      <w:fldChar w:fldCharType="separate"/>
    </w:r>
    <w:r>
      <w:rPr>
        <w:rStyle w:val="PageNumber"/>
        <w:rFonts w:ascii="Courier New" w:hAnsi="Courier New" w:cs="Courier New"/>
        <w:noProof/>
      </w:rPr>
      <w:t>24</w:t>
    </w:r>
    <w:r w:rsidRPr="005D33DC">
      <w:rPr>
        <w:rStyle w:val="PageNumber"/>
        <w:rFonts w:ascii="Courier New" w:hAnsi="Courier New" w:cs="Courier New"/>
      </w:rPr>
      <w:fldChar w:fldCharType="end"/>
    </w:r>
  </w:p>
  <w:p w14:paraId="4A839AE0" w14:textId="77777777" w:rsidR="001A1B8A" w:rsidRPr="005D33DC" w:rsidRDefault="001A1B8A" w:rsidP="000127C9">
    <w:pPr>
      <w:tabs>
        <w:tab w:val="left" w:pos="5850"/>
        <w:tab w:val="right" w:pos="8640"/>
      </w:tabs>
      <w:suppressAutoHyphens/>
      <w:jc w:val="both"/>
      <w:rPr>
        <w:rFonts w:ascii="Courier New" w:hAnsi="Courier New" w:cs="Courier New"/>
      </w:rPr>
    </w:pPr>
    <w:r w:rsidRPr="005D33DC">
      <w:rPr>
        <w:rFonts w:ascii="Courier New" w:hAnsi="Courier New" w:cs="Courier New"/>
      </w:rPr>
      <w:tab/>
      <w:t>Idaho Power Company</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77F5" w14:textId="2F2568E4" w:rsidR="001A1B8A" w:rsidRPr="005D33DC" w:rsidRDefault="001A1B8A" w:rsidP="000127C9">
    <w:pPr>
      <w:tabs>
        <w:tab w:val="left" w:pos="5850"/>
        <w:tab w:val="right" w:pos="8640"/>
      </w:tabs>
      <w:suppressAutoHyphens/>
      <w:rPr>
        <w:rFonts w:ascii="Courier New" w:hAnsi="Courier New" w:cs="Courier New"/>
      </w:rPr>
    </w:pPr>
    <w:r w:rsidRPr="006C4467">
      <w:tab/>
    </w:r>
    <w:r>
      <w:rPr>
        <w:rFonts w:ascii="Courier New" w:hAnsi="Courier New" w:cs="Courier New"/>
      </w:rPr>
      <w:t>BRADY</w:t>
    </w:r>
    <w:r w:rsidRPr="005D33DC">
      <w:rPr>
        <w:rFonts w:ascii="Courier New" w:hAnsi="Courier New" w:cs="Courier New"/>
      </w:rPr>
      <w:t>, DI</w:t>
    </w:r>
    <w:r>
      <w:rPr>
        <w:rFonts w:ascii="Courier New" w:hAnsi="Courier New" w:cs="Courier New"/>
      </w:rPr>
      <w:t xml:space="preserve"> REVISED</w:t>
    </w:r>
    <w:r w:rsidRPr="005D33DC">
      <w:rPr>
        <w:rFonts w:ascii="Courier New" w:hAnsi="Courier New" w:cs="Courier New"/>
      </w:rPr>
      <w:tab/>
    </w:r>
    <w:r w:rsidRPr="005D33DC">
      <w:rPr>
        <w:rStyle w:val="PageNumber"/>
        <w:rFonts w:ascii="Courier New" w:hAnsi="Courier New" w:cs="Courier New"/>
      </w:rPr>
      <w:fldChar w:fldCharType="begin"/>
    </w:r>
    <w:r w:rsidRPr="005D33DC">
      <w:rPr>
        <w:rStyle w:val="PageNumber"/>
        <w:rFonts w:ascii="Courier New" w:hAnsi="Courier New" w:cs="Courier New"/>
      </w:rPr>
      <w:instrText xml:space="preserve"> PAGE </w:instrText>
    </w:r>
    <w:r w:rsidRPr="005D33DC">
      <w:rPr>
        <w:rStyle w:val="PageNumber"/>
        <w:rFonts w:ascii="Courier New" w:hAnsi="Courier New" w:cs="Courier New"/>
      </w:rPr>
      <w:fldChar w:fldCharType="separate"/>
    </w:r>
    <w:r>
      <w:rPr>
        <w:rStyle w:val="PageNumber"/>
        <w:rFonts w:ascii="Courier New" w:hAnsi="Courier New" w:cs="Courier New"/>
        <w:noProof/>
      </w:rPr>
      <w:t>24</w:t>
    </w:r>
    <w:r w:rsidRPr="005D33DC">
      <w:rPr>
        <w:rStyle w:val="PageNumber"/>
        <w:rFonts w:ascii="Courier New" w:hAnsi="Courier New" w:cs="Courier New"/>
      </w:rPr>
      <w:fldChar w:fldCharType="end"/>
    </w:r>
  </w:p>
  <w:p w14:paraId="36BAB285" w14:textId="77777777" w:rsidR="001A1B8A" w:rsidRPr="005D33DC" w:rsidRDefault="001A1B8A" w:rsidP="000127C9">
    <w:pPr>
      <w:tabs>
        <w:tab w:val="left" w:pos="5850"/>
        <w:tab w:val="right" w:pos="8640"/>
      </w:tabs>
      <w:suppressAutoHyphens/>
      <w:jc w:val="both"/>
      <w:rPr>
        <w:rFonts w:ascii="Courier New" w:hAnsi="Courier New" w:cs="Courier New"/>
      </w:rPr>
    </w:pPr>
    <w:r w:rsidRPr="005D33DC">
      <w:rPr>
        <w:rFonts w:ascii="Courier New" w:hAnsi="Courier New" w:cs="Courier New"/>
      </w:rPr>
      <w:tab/>
      <w:t>Idaho Power Company</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B5CD" w14:textId="2B7C17D0" w:rsidR="001A1B8A" w:rsidRPr="005D33DC" w:rsidRDefault="001A1B8A" w:rsidP="000127C9">
    <w:pPr>
      <w:tabs>
        <w:tab w:val="left" w:pos="5850"/>
        <w:tab w:val="right" w:pos="8640"/>
      </w:tabs>
      <w:suppressAutoHyphens/>
      <w:rPr>
        <w:rFonts w:ascii="Courier New" w:hAnsi="Courier New" w:cs="Courier New"/>
      </w:rPr>
    </w:pPr>
    <w:r w:rsidRPr="006C4467">
      <w:tab/>
    </w:r>
    <w:r>
      <w:rPr>
        <w:rFonts w:ascii="Courier New" w:hAnsi="Courier New" w:cs="Courier New"/>
      </w:rPr>
      <w:t>BRADY</w:t>
    </w:r>
    <w:r w:rsidRPr="005D33DC">
      <w:rPr>
        <w:rFonts w:ascii="Courier New" w:hAnsi="Courier New" w:cs="Courier New"/>
      </w:rPr>
      <w:t>, DI</w:t>
    </w:r>
    <w:r>
      <w:rPr>
        <w:rFonts w:ascii="Courier New" w:hAnsi="Courier New" w:cs="Courier New"/>
      </w:rPr>
      <w:tab/>
    </w:r>
    <w:r w:rsidRPr="005D33DC">
      <w:rPr>
        <w:rStyle w:val="PageNumber"/>
        <w:rFonts w:ascii="Courier New" w:hAnsi="Courier New" w:cs="Courier New"/>
      </w:rPr>
      <w:fldChar w:fldCharType="begin"/>
    </w:r>
    <w:r w:rsidRPr="005D33DC">
      <w:rPr>
        <w:rStyle w:val="PageNumber"/>
        <w:rFonts w:ascii="Courier New" w:hAnsi="Courier New" w:cs="Courier New"/>
      </w:rPr>
      <w:instrText xml:space="preserve"> PAGE </w:instrText>
    </w:r>
    <w:r w:rsidRPr="005D33DC">
      <w:rPr>
        <w:rStyle w:val="PageNumber"/>
        <w:rFonts w:ascii="Courier New" w:hAnsi="Courier New" w:cs="Courier New"/>
      </w:rPr>
      <w:fldChar w:fldCharType="separate"/>
    </w:r>
    <w:r>
      <w:rPr>
        <w:rStyle w:val="PageNumber"/>
        <w:rFonts w:ascii="Courier New" w:hAnsi="Courier New" w:cs="Courier New"/>
        <w:noProof/>
      </w:rPr>
      <w:t>24</w:t>
    </w:r>
    <w:r w:rsidRPr="005D33DC">
      <w:rPr>
        <w:rStyle w:val="PageNumber"/>
        <w:rFonts w:ascii="Courier New" w:hAnsi="Courier New" w:cs="Courier New"/>
      </w:rPr>
      <w:fldChar w:fldCharType="end"/>
    </w:r>
  </w:p>
  <w:p w14:paraId="777546CC" w14:textId="77777777" w:rsidR="001A1B8A" w:rsidRPr="005D33DC" w:rsidRDefault="001A1B8A" w:rsidP="000127C9">
    <w:pPr>
      <w:tabs>
        <w:tab w:val="left" w:pos="5850"/>
        <w:tab w:val="right" w:pos="8640"/>
      </w:tabs>
      <w:suppressAutoHyphens/>
      <w:jc w:val="both"/>
      <w:rPr>
        <w:rFonts w:ascii="Courier New" w:hAnsi="Courier New" w:cs="Courier New"/>
      </w:rPr>
    </w:pPr>
    <w:r w:rsidRPr="005D33DC">
      <w:rPr>
        <w:rFonts w:ascii="Courier New" w:hAnsi="Courier New" w:cs="Courier New"/>
      </w:rPr>
      <w:tab/>
      <w:t>Idaho Power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E8871" w14:textId="77777777" w:rsidR="00B26C36" w:rsidRDefault="00B26C36">
      <w:pPr>
        <w:rPr>
          <w:noProof/>
        </w:rPr>
      </w:pPr>
      <w:r>
        <w:rPr>
          <w:noProof/>
        </w:rPr>
        <w:separator/>
      </w:r>
    </w:p>
  </w:footnote>
  <w:footnote w:type="continuationSeparator" w:id="0">
    <w:p w14:paraId="71425073" w14:textId="77777777" w:rsidR="00B26C36" w:rsidRDefault="00B26C36">
      <w:r>
        <w:continuationSeparator/>
      </w:r>
    </w:p>
  </w:footnote>
  <w:footnote w:id="1">
    <w:p w14:paraId="509B3A73" w14:textId="77777777" w:rsidR="003B260A" w:rsidRDefault="003B260A" w:rsidP="005A54A1">
      <w:pPr>
        <w:pStyle w:val="FootnoteText"/>
        <w:ind w:firstLine="720"/>
      </w:pPr>
      <w:r w:rsidRPr="005D33DC">
        <w:rPr>
          <w:rStyle w:val="FootnoteReference"/>
          <w:rFonts w:ascii="Courier New" w:hAnsi="Courier New" w:cs="Courier New"/>
          <w:sz w:val="20"/>
        </w:rPr>
        <w:footnoteRef/>
      </w:r>
      <w:r w:rsidRPr="005D33DC">
        <w:rPr>
          <w:rFonts w:ascii="Courier New" w:hAnsi="Courier New" w:cs="Courier New"/>
          <w:sz w:val="20"/>
        </w:rPr>
        <w:t xml:space="preserve"> </w:t>
      </w:r>
      <w:r>
        <w:rPr>
          <w:rFonts w:ascii="Courier New" w:hAnsi="Courier New" w:cs="Courier New"/>
          <w:i/>
          <w:sz w:val="20"/>
        </w:rPr>
        <w:t xml:space="preserve">In the Matter of the Application of Idaho Power Company for Authority to Establish a New Base Level of Net Power Supply Expense, </w:t>
      </w:r>
      <w:r>
        <w:rPr>
          <w:rFonts w:ascii="Courier New" w:hAnsi="Courier New" w:cs="Courier New"/>
          <w:sz w:val="20"/>
        </w:rPr>
        <w:t>Case No. IPC-E-13-20</w:t>
      </w:r>
      <w:r w:rsidRPr="005D33DC">
        <w:rPr>
          <w:rFonts w:ascii="Courier New" w:hAnsi="Courier New" w:cs="Courier New"/>
          <w:sz w:val="20"/>
        </w:rPr>
        <w:t>, Order No. 33000</w:t>
      </w:r>
      <w:r>
        <w:rPr>
          <w:rFonts w:ascii="Courier New" w:hAnsi="Courier New" w:cs="Courier New"/>
          <w:sz w:val="20"/>
        </w:rPr>
        <w:t xml:space="preserve"> (</w:t>
      </w:r>
      <w:r w:rsidRPr="005D33DC">
        <w:rPr>
          <w:rFonts w:ascii="Courier New" w:hAnsi="Courier New" w:cs="Courier New"/>
          <w:sz w:val="20"/>
        </w:rPr>
        <w:t>March 21, 2014</w:t>
      </w:r>
      <w:r>
        <w:rPr>
          <w:rFonts w:ascii="Courier New" w:hAnsi="Courier New" w:cs="Courier New"/>
          <w:sz w:val="20"/>
        </w:rPr>
        <w:t>)</w:t>
      </w:r>
      <w:r w:rsidRPr="005D33DC">
        <w:rPr>
          <w:rFonts w:ascii="Courier New" w:hAnsi="Courier New" w:cs="Courier New"/>
          <w:sz w:val="20"/>
        </w:rPr>
        <w:t>.</w:t>
      </w:r>
    </w:p>
  </w:footnote>
  <w:footnote w:id="2">
    <w:p w14:paraId="032C357D" w14:textId="77777777" w:rsidR="00253FD9" w:rsidRDefault="00253FD9" w:rsidP="00253FD9">
      <w:pPr>
        <w:pStyle w:val="FootnoteText"/>
      </w:pPr>
      <w:r>
        <w:rPr>
          <w:rStyle w:val="FootnoteReference"/>
        </w:rPr>
        <w:footnoteRef/>
      </w:r>
      <w:r>
        <w:t xml:space="preserve"> </w:t>
      </w:r>
      <w:r>
        <w:rPr>
          <w:rFonts w:ascii="Courier New" w:hAnsi="Courier New" w:cs="Courier New"/>
          <w:i/>
          <w:sz w:val="20"/>
        </w:rPr>
        <w:t xml:space="preserve">In the Matter of the Replacement Special contract with Micron Technology, Inc. and Purchase Agreement with Black Mesa Energy LLC, </w:t>
      </w:r>
      <w:r>
        <w:rPr>
          <w:rFonts w:ascii="Courier New" w:hAnsi="Courier New" w:cs="Courier New"/>
          <w:sz w:val="20"/>
        </w:rPr>
        <w:t>Case No. IPC-E-22-06</w:t>
      </w:r>
      <w:r w:rsidRPr="005D33DC">
        <w:rPr>
          <w:rFonts w:ascii="Courier New" w:hAnsi="Courier New" w:cs="Courier New"/>
          <w:sz w:val="20"/>
        </w:rPr>
        <w:t xml:space="preserve">, Order No. </w:t>
      </w:r>
      <w:r>
        <w:rPr>
          <w:rFonts w:ascii="Courier New" w:hAnsi="Courier New" w:cs="Courier New"/>
          <w:sz w:val="20"/>
        </w:rPr>
        <w:t>35482 (August</w:t>
      </w:r>
      <w:r w:rsidRPr="005D33DC">
        <w:rPr>
          <w:rFonts w:ascii="Courier New" w:hAnsi="Courier New" w:cs="Courier New"/>
          <w:sz w:val="20"/>
        </w:rPr>
        <w:t xml:space="preserve"> </w:t>
      </w:r>
      <w:r>
        <w:rPr>
          <w:rFonts w:ascii="Courier New" w:hAnsi="Courier New" w:cs="Courier New"/>
          <w:sz w:val="20"/>
        </w:rPr>
        <w:t>01</w:t>
      </w:r>
      <w:r w:rsidRPr="005D33DC">
        <w:rPr>
          <w:rFonts w:ascii="Courier New" w:hAnsi="Courier New" w:cs="Courier New"/>
          <w:sz w:val="20"/>
        </w:rPr>
        <w:t>, 2</w:t>
      </w:r>
      <w:r>
        <w:rPr>
          <w:rFonts w:ascii="Courier New" w:hAnsi="Courier New" w:cs="Courier New"/>
          <w:sz w:val="20"/>
        </w:rPr>
        <w:t>022)</w:t>
      </w:r>
      <w:r w:rsidRPr="005D33DC">
        <w:rPr>
          <w:rFonts w:ascii="Courier New" w:hAnsi="Courier New" w:cs="Courier New"/>
          <w:sz w:val="20"/>
        </w:rPr>
        <w:t>.</w:t>
      </w:r>
    </w:p>
  </w:footnote>
  <w:footnote w:id="3">
    <w:p w14:paraId="4066925C" w14:textId="41C8024B" w:rsidR="00B83107" w:rsidRDefault="00B83107">
      <w:pPr>
        <w:pStyle w:val="FootnoteText"/>
      </w:pPr>
      <w:r w:rsidRPr="00E11049">
        <w:rPr>
          <w:rStyle w:val="FootnoteReference"/>
          <w:rFonts w:ascii="Courier New" w:hAnsi="Courier New" w:cs="Courier New"/>
        </w:rPr>
        <w:footnoteRef/>
      </w:r>
      <w:r>
        <w:t xml:space="preserve"> </w:t>
      </w:r>
      <w:r w:rsidRPr="00B83107">
        <w:rPr>
          <w:rFonts w:ascii="Courier New" w:hAnsi="Courier New" w:cs="Courier New"/>
          <w:iCs/>
          <w:sz w:val="20"/>
        </w:rPr>
        <w:t>System-level</w:t>
      </w:r>
      <w:r>
        <w:rPr>
          <w:rFonts w:ascii="Courier New" w:hAnsi="Courier New" w:cs="Courier New"/>
          <w:iCs/>
          <w:sz w:val="20"/>
        </w:rPr>
        <w:t xml:space="preserve"> and Idaho jurisdictional</w:t>
      </w:r>
      <w:r w:rsidRPr="00B83107">
        <w:rPr>
          <w:rFonts w:ascii="Courier New" w:hAnsi="Courier New" w:cs="Courier New"/>
          <w:iCs/>
          <w:sz w:val="20"/>
        </w:rPr>
        <w:t xml:space="preserve"> firm sales used in the calculation are net of Black Mesa Solar’s forecast</w:t>
      </w:r>
      <w:r>
        <w:rPr>
          <w:rFonts w:ascii="Courier New" w:hAnsi="Courier New" w:cs="Courier New"/>
          <w:iCs/>
          <w:sz w:val="20"/>
        </w:rPr>
        <w:t>ed</w:t>
      </w:r>
      <w:r w:rsidRPr="00B83107">
        <w:rPr>
          <w:rFonts w:ascii="Courier New" w:hAnsi="Courier New" w:cs="Courier New"/>
          <w:iCs/>
          <w:sz w:val="20"/>
        </w:rPr>
        <w:t xml:space="preserve"> generation</w:t>
      </w:r>
      <w:r>
        <w:rPr>
          <w:rFonts w:ascii="Courier New" w:hAnsi="Courier New" w:cs="Courier New"/>
          <w:iCs/>
          <w:sz w:val="20"/>
        </w:rPr>
        <w:t xml:space="preserve"> for the </w:t>
      </w:r>
      <w:r w:rsidR="00E11049">
        <w:rPr>
          <w:rFonts w:ascii="Courier New" w:hAnsi="Courier New" w:cs="Courier New"/>
          <w:iCs/>
          <w:sz w:val="20"/>
        </w:rPr>
        <w:t>June</w:t>
      </w:r>
      <w:r w:rsidRPr="00B83107">
        <w:rPr>
          <w:rFonts w:ascii="Courier New" w:hAnsi="Courier New" w:cs="Courier New"/>
          <w:iCs/>
          <w:sz w:val="20"/>
        </w:rPr>
        <w:t xml:space="preserve"> 2023 – </w:t>
      </w:r>
      <w:r w:rsidR="00E11049">
        <w:rPr>
          <w:rFonts w:ascii="Courier New" w:hAnsi="Courier New" w:cs="Courier New"/>
          <w:iCs/>
          <w:sz w:val="20"/>
        </w:rPr>
        <w:t>May</w:t>
      </w:r>
      <w:r w:rsidRPr="00B83107">
        <w:rPr>
          <w:rFonts w:ascii="Courier New" w:hAnsi="Courier New" w:cs="Courier New"/>
          <w:iCs/>
          <w:sz w:val="20"/>
        </w:rPr>
        <w:t xml:space="preserve"> 2024</w:t>
      </w:r>
      <w:r>
        <w:rPr>
          <w:rFonts w:ascii="Courier New" w:hAnsi="Courier New" w:cs="Courier New"/>
          <w:iCs/>
          <w:sz w:val="20"/>
        </w:rPr>
        <w:t xml:space="preserve"> </w:t>
      </w:r>
      <w:r w:rsidR="00F149D8">
        <w:rPr>
          <w:rFonts w:ascii="Courier New" w:hAnsi="Courier New" w:cs="Courier New"/>
          <w:iCs/>
          <w:sz w:val="20"/>
        </w:rPr>
        <w:t>time period</w:t>
      </w:r>
      <w:r>
        <w:rPr>
          <w:rFonts w:ascii="Courier New" w:hAnsi="Courier New" w:cs="Courier New"/>
          <w:iCs/>
          <w:sz w:val="20"/>
        </w:rPr>
        <w:t>.</w:t>
      </w:r>
    </w:p>
  </w:footnote>
  <w:footnote w:id="4">
    <w:p w14:paraId="3C959FAE" w14:textId="3D286B86" w:rsidR="00B83107" w:rsidRDefault="00B83107">
      <w:pPr>
        <w:pStyle w:val="FootnoteText"/>
      </w:pPr>
      <w:r>
        <w:rPr>
          <w:rStyle w:val="FootnoteReference"/>
        </w:rPr>
        <w:footnoteRef/>
      </w:r>
      <w:r>
        <w:t xml:space="preserve"> </w:t>
      </w:r>
      <w:r w:rsidRPr="00E11049">
        <w:rPr>
          <w:rFonts w:ascii="Courier New" w:hAnsi="Courier New" w:cs="Courier New"/>
          <w:i/>
          <w:sz w:val="20"/>
        </w:rPr>
        <w:t>Id</w:t>
      </w:r>
      <w:r w:rsidRPr="00B83107">
        <w:rPr>
          <w:rFonts w:ascii="Courier New" w:hAnsi="Courier New" w:cs="Courier New"/>
          <w:iCs/>
          <w:sz w:val="20"/>
        </w:rPr>
        <w:t>.</w:t>
      </w:r>
    </w:p>
  </w:footnote>
  <w:footnote w:id="5">
    <w:p w14:paraId="6E1E2FEE" w14:textId="77777777" w:rsidR="003B260A" w:rsidRPr="00682095" w:rsidRDefault="003B260A">
      <w:pPr>
        <w:pStyle w:val="FootnoteText"/>
        <w:rPr>
          <w:rFonts w:ascii="Courier New" w:hAnsi="Courier New" w:cs="Courier New"/>
        </w:rPr>
      </w:pPr>
      <w:r w:rsidRPr="00682095">
        <w:rPr>
          <w:rStyle w:val="FootnoteReference"/>
          <w:rFonts w:ascii="Courier New" w:hAnsi="Courier New" w:cs="Courier New"/>
          <w:sz w:val="20"/>
          <w:szCs w:val="16"/>
        </w:rPr>
        <w:footnoteRef/>
      </w:r>
      <w:r w:rsidRPr="00682095">
        <w:rPr>
          <w:rFonts w:ascii="Courier New" w:hAnsi="Courier New" w:cs="Courier New"/>
          <w:sz w:val="20"/>
          <w:szCs w:val="16"/>
        </w:rPr>
        <w:t xml:space="preserve"> Order Nos. 32424, 33149 and 34071. </w:t>
      </w:r>
    </w:p>
  </w:footnote>
  <w:footnote w:id="6">
    <w:p w14:paraId="09BD8D90" w14:textId="78C48766" w:rsidR="00A54DB3" w:rsidRPr="00A54DB3" w:rsidRDefault="00A54DB3">
      <w:pPr>
        <w:pStyle w:val="FootnoteText"/>
        <w:rPr>
          <w:rFonts w:ascii="Courier New" w:hAnsi="Courier New" w:cs="Courier New"/>
        </w:rPr>
      </w:pPr>
      <w:r w:rsidRPr="00A54DB3">
        <w:rPr>
          <w:rStyle w:val="FootnoteReference"/>
          <w:rFonts w:ascii="Courier New" w:hAnsi="Courier New" w:cs="Courier New"/>
          <w:sz w:val="20"/>
          <w:szCs w:val="16"/>
        </w:rPr>
        <w:footnoteRef/>
      </w:r>
      <w:r w:rsidRPr="00A54DB3">
        <w:rPr>
          <w:rFonts w:ascii="Courier New" w:hAnsi="Courier New" w:cs="Courier New"/>
          <w:sz w:val="20"/>
          <w:szCs w:val="16"/>
        </w:rPr>
        <w:t xml:space="preserve"> Expected customer sales for the June 2023 – May 2024 test year are reduced by the amount of Micron’s load forecast to be met by Black Mesa Solar generation</w:t>
      </w:r>
      <w:r w:rsidR="00E348F0">
        <w:rPr>
          <w:rFonts w:ascii="Courier New" w:hAnsi="Courier New" w:cs="Courier New"/>
          <w:sz w:val="20"/>
          <w:szCs w:val="16"/>
        </w:rPr>
        <w:t xml:space="preserve"> for the reasons explained herein.</w:t>
      </w:r>
    </w:p>
  </w:footnote>
  <w:footnote w:id="7">
    <w:p w14:paraId="44503187" w14:textId="77777777" w:rsidR="00E348F0" w:rsidRDefault="00E348F0" w:rsidP="00E348F0">
      <w:pPr>
        <w:pStyle w:val="FootnoteText"/>
      </w:pPr>
      <w:r w:rsidRPr="00A54DB3">
        <w:rPr>
          <w:rStyle w:val="FootnoteReference"/>
          <w:rFonts w:ascii="Courier New" w:hAnsi="Courier New" w:cs="Courier New"/>
          <w:sz w:val="20"/>
          <w:szCs w:val="16"/>
        </w:rPr>
        <w:footnoteRef/>
      </w:r>
      <w:r w:rsidRPr="00A54DB3">
        <w:rPr>
          <w:rFonts w:ascii="Courier New" w:hAnsi="Courier New" w:cs="Courier New"/>
          <w:sz w:val="20"/>
          <w:szCs w:val="16"/>
        </w:rPr>
        <w:t xml:space="preserve"> </w:t>
      </w:r>
      <w:r>
        <w:rPr>
          <w:rFonts w:ascii="Courier New" w:hAnsi="Courier New" w:cs="Courier New"/>
          <w:sz w:val="20"/>
          <w:szCs w:val="16"/>
        </w:rPr>
        <w:t xml:space="preserve">See, e.g., Order Nos. 28722, 29026, 30563, 30828, and 32821.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361B" w14:textId="77777777" w:rsidR="007625C6" w:rsidRDefault="00762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BF09" w14:textId="77777777" w:rsidR="007625C6" w:rsidRDefault="007625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8916" w14:textId="77777777" w:rsidR="007625C6" w:rsidRDefault="007625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5D1F" w14:textId="77777777" w:rsidR="003B260A" w:rsidRPr="00BA445D" w:rsidRDefault="003B260A" w:rsidP="00BA4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464"/>
    <w:multiLevelType w:val="hybridMultilevel"/>
    <w:tmpl w:val="FAFAE10E"/>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830ADC"/>
    <w:multiLevelType w:val="hybridMultilevel"/>
    <w:tmpl w:val="D6CE55D6"/>
    <w:lvl w:ilvl="0" w:tplc="3B14C9A2">
      <w:start w:val="1"/>
      <w:numFmt w:val="upperLetter"/>
      <w:lvlText w:val="%1."/>
      <w:lvlJc w:val="left"/>
      <w:pPr>
        <w:ind w:left="900" w:hanging="9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C0F6D"/>
    <w:multiLevelType w:val="hybridMultilevel"/>
    <w:tmpl w:val="6BBEFAA6"/>
    <w:lvl w:ilvl="0" w:tplc="1F4E748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A0F4B"/>
    <w:multiLevelType w:val="hybridMultilevel"/>
    <w:tmpl w:val="C3647D6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4" w15:restartNumberingAfterBreak="0">
    <w:nsid w:val="165C7DA7"/>
    <w:multiLevelType w:val="hybridMultilevel"/>
    <w:tmpl w:val="7C22C044"/>
    <w:lvl w:ilvl="0" w:tplc="0409000F">
      <w:start w:val="1"/>
      <w:numFmt w:val="decimal"/>
      <w:lvlText w:val="%1."/>
      <w:lvlJc w:val="left"/>
      <w:pPr>
        <w:tabs>
          <w:tab w:val="num" w:pos="1680"/>
        </w:tabs>
        <w:ind w:left="1680" w:hanging="360"/>
      </w:p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5" w15:restartNumberingAfterBreak="0">
    <w:nsid w:val="1D8709FF"/>
    <w:multiLevelType w:val="hybridMultilevel"/>
    <w:tmpl w:val="477816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C10788B"/>
    <w:multiLevelType w:val="hybridMultilevel"/>
    <w:tmpl w:val="D4AEB806"/>
    <w:lvl w:ilvl="0" w:tplc="F3D25ADA">
      <w:start w:val="1"/>
      <w:numFmt w:val="decimal"/>
      <w:lvlText w:val="%1."/>
      <w:lvlJc w:val="left"/>
      <w:pPr>
        <w:tabs>
          <w:tab w:val="num" w:pos="1920"/>
        </w:tabs>
        <w:ind w:left="1920" w:hanging="9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7" w15:restartNumberingAfterBreak="0">
    <w:nsid w:val="3FD4768F"/>
    <w:multiLevelType w:val="hybridMultilevel"/>
    <w:tmpl w:val="5DB8B348"/>
    <w:lvl w:ilvl="0" w:tplc="6EC60614">
      <w:start w:val="1"/>
      <w:numFmt w:val="bullet"/>
      <w:lvlText w:val=""/>
      <w:lvlJc w:val="left"/>
      <w:pPr>
        <w:tabs>
          <w:tab w:val="num" w:pos="216"/>
        </w:tabs>
        <w:ind w:left="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3F0A73"/>
    <w:multiLevelType w:val="hybridMultilevel"/>
    <w:tmpl w:val="9634E13A"/>
    <w:lvl w:ilvl="0" w:tplc="746CC7F4">
      <w:start w:val="1"/>
      <w:numFmt w:val="upperLetter"/>
      <w:lvlText w:val="%1."/>
      <w:lvlJc w:val="left"/>
      <w:pPr>
        <w:ind w:left="1980" w:hanging="90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B0541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20D672F"/>
    <w:multiLevelType w:val="hybridMultilevel"/>
    <w:tmpl w:val="A7923280"/>
    <w:lvl w:ilvl="0" w:tplc="1070F572">
      <w:start w:val="1"/>
      <w:numFmt w:val="decimal"/>
      <w:lvlText w:val="%1."/>
      <w:lvlJc w:val="left"/>
      <w:pPr>
        <w:tabs>
          <w:tab w:val="num" w:pos="1920"/>
        </w:tabs>
        <w:ind w:left="1920" w:hanging="9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1" w15:restartNumberingAfterBreak="0">
    <w:nsid w:val="6593183F"/>
    <w:multiLevelType w:val="hybridMultilevel"/>
    <w:tmpl w:val="AE244512"/>
    <w:lvl w:ilvl="0" w:tplc="3EF0ECBC">
      <w:start w:val="1"/>
      <w:numFmt w:val="bullet"/>
      <w:lvlText w:val="-"/>
      <w:lvlJc w:val="left"/>
      <w:pPr>
        <w:ind w:left="5400" w:hanging="360"/>
      </w:pPr>
      <w:rPr>
        <w:rFonts w:ascii="Courier" w:eastAsia="Times New Roman" w:hAnsi="Courier"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2" w15:restartNumberingAfterBreak="0">
    <w:nsid w:val="684A37D7"/>
    <w:multiLevelType w:val="hybridMultilevel"/>
    <w:tmpl w:val="579A4938"/>
    <w:lvl w:ilvl="0" w:tplc="CAC22C00">
      <w:start w:val="2"/>
      <w:numFmt w:val="decimal"/>
      <w:lvlText w:val="%1."/>
      <w:lvlJc w:val="left"/>
      <w:pPr>
        <w:tabs>
          <w:tab w:val="num" w:pos="1920"/>
        </w:tabs>
        <w:ind w:left="1920" w:hanging="9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3" w15:restartNumberingAfterBreak="0">
    <w:nsid w:val="6C6073D9"/>
    <w:multiLevelType w:val="hybridMultilevel"/>
    <w:tmpl w:val="5FA6C5C8"/>
    <w:lvl w:ilvl="0" w:tplc="3AF8A55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B4440B"/>
    <w:multiLevelType w:val="hybridMultilevel"/>
    <w:tmpl w:val="3C1C4D7A"/>
    <w:lvl w:ilvl="0" w:tplc="64185506">
      <w:start w:val="1"/>
      <w:numFmt w:val="bullet"/>
      <w:lvlText w:val="-"/>
      <w:lvlJc w:val="left"/>
      <w:pPr>
        <w:ind w:left="5400" w:hanging="360"/>
      </w:pPr>
      <w:rPr>
        <w:rFonts w:ascii="Courier" w:eastAsia="Times New Roman" w:hAnsi="Courier"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5" w15:restartNumberingAfterBreak="0">
    <w:nsid w:val="756E3DBE"/>
    <w:multiLevelType w:val="hybridMultilevel"/>
    <w:tmpl w:val="BBE4AF78"/>
    <w:lvl w:ilvl="0" w:tplc="B448A93E">
      <w:start w:val="1"/>
      <w:numFmt w:val="decimal"/>
      <w:lvlText w:val="%1."/>
      <w:lvlJc w:val="left"/>
      <w:pPr>
        <w:tabs>
          <w:tab w:val="num" w:pos="1920"/>
        </w:tabs>
        <w:ind w:left="192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3F71E8"/>
    <w:multiLevelType w:val="hybridMultilevel"/>
    <w:tmpl w:val="38DA5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12"/>
  </w:num>
  <w:num w:numId="4">
    <w:abstractNumId w:val="4"/>
  </w:num>
  <w:num w:numId="5">
    <w:abstractNumId w:val="15"/>
  </w:num>
  <w:num w:numId="6">
    <w:abstractNumId w:val="5"/>
  </w:num>
  <w:num w:numId="7">
    <w:abstractNumId w:val="16"/>
  </w:num>
  <w:num w:numId="8">
    <w:abstractNumId w:val="7"/>
  </w:num>
  <w:num w:numId="9">
    <w:abstractNumId w:val="14"/>
  </w:num>
  <w:num w:numId="10">
    <w:abstractNumId w:val="11"/>
  </w:num>
  <w:num w:numId="11">
    <w:abstractNumId w:val="3"/>
  </w:num>
  <w:num w:numId="12">
    <w:abstractNumId w:val="2"/>
  </w:num>
  <w:num w:numId="13">
    <w:abstractNumId w:val="13"/>
  </w:num>
  <w:num w:numId="14">
    <w:abstractNumId w:val="9"/>
  </w:num>
  <w:num w:numId="15">
    <w:abstractNumId w:val="0"/>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7CB"/>
    <w:rsid w:val="000002CB"/>
    <w:rsid w:val="00000AA8"/>
    <w:rsid w:val="00000F1B"/>
    <w:rsid w:val="00004245"/>
    <w:rsid w:val="000046D6"/>
    <w:rsid w:val="000050DE"/>
    <w:rsid w:val="000057D0"/>
    <w:rsid w:val="000065FB"/>
    <w:rsid w:val="00010531"/>
    <w:rsid w:val="00010BC1"/>
    <w:rsid w:val="00011C43"/>
    <w:rsid w:val="00011C7A"/>
    <w:rsid w:val="000127C9"/>
    <w:rsid w:val="000155A9"/>
    <w:rsid w:val="0002035D"/>
    <w:rsid w:val="00021928"/>
    <w:rsid w:val="00021E93"/>
    <w:rsid w:val="00022A04"/>
    <w:rsid w:val="000230AB"/>
    <w:rsid w:val="0002321D"/>
    <w:rsid w:val="00023456"/>
    <w:rsid w:val="000238E6"/>
    <w:rsid w:val="00023CC4"/>
    <w:rsid w:val="00024950"/>
    <w:rsid w:val="000260D1"/>
    <w:rsid w:val="00026B48"/>
    <w:rsid w:val="00027043"/>
    <w:rsid w:val="00027B1A"/>
    <w:rsid w:val="0003046E"/>
    <w:rsid w:val="000309A6"/>
    <w:rsid w:val="000310F6"/>
    <w:rsid w:val="00032C5C"/>
    <w:rsid w:val="000330D6"/>
    <w:rsid w:val="00033968"/>
    <w:rsid w:val="00033A3D"/>
    <w:rsid w:val="00034265"/>
    <w:rsid w:val="00035107"/>
    <w:rsid w:val="000351A0"/>
    <w:rsid w:val="0003582F"/>
    <w:rsid w:val="0003599C"/>
    <w:rsid w:val="00036813"/>
    <w:rsid w:val="000369FF"/>
    <w:rsid w:val="00036CD3"/>
    <w:rsid w:val="00036F31"/>
    <w:rsid w:val="000371DE"/>
    <w:rsid w:val="0004083F"/>
    <w:rsid w:val="00040E03"/>
    <w:rsid w:val="00040F9A"/>
    <w:rsid w:val="00040FD8"/>
    <w:rsid w:val="000417D7"/>
    <w:rsid w:val="0004199E"/>
    <w:rsid w:val="000419C1"/>
    <w:rsid w:val="0004219A"/>
    <w:rsid w:val="00043B9B"/>
    <w:rsid w:val="000441CF"/>
    <w:rsid w:val="000444AB"/>
    <w:rsid w:val="00044C64"/>
    <w:rsid w:val="00045FCD"/>
    <w:rsid w:val="00046C6C"/>
    <w:rsid w:val="00050192"/>
    <w:rsid w:val="000504BA"/>
    <w:rsid w:val="00050D27"/>
    <w:rsid w:val="00050DA3"/>
    <w:rsid w:val="00051403"/>
    <w:rsid w:val="00054502"/>
    <w:rsid w:val="000547FB"/>
    <w:rsid w:val="00055572"/>
    <w:rsid w:val="00056714"/>
    <w:rsid w:val="00056A3B"/>
    <w:rsid w:val="00057313"/>
    <w:rsid w:val="00057438"/>
    <w:rsid w:val="0005794F"/>
    <w:rsid w:val="000579E9"/>
    <w:rsid w:val="00057CBE"/>
    <w:rsid w:val="00060DC5"/>
    <w:rsid w:val="0006113C"/>
    <w:rsid w:val="00061401"/>
    <w:rsid w:val="000628AA"/>
    <w:rsid w:val="00064B58"/>
    <w:rsid w:val="00064DBC"/>
    <w:rsid w:val="000653ED"/>
    <w:rsid w:val="00065C0E"/>
    <w:rsid w:val="000675DE"/>
    <w:rsid w:val="00070BD8"/>
    <w:rsid w:val="00070CA4"/>
    <w:rsid w:val="00071255"/>
    <w:rsid w:val="00071CA4"/>
    <w:rsid w:val="00072967"/>
    <w:rsid w:val="00072FEA"/>
    <w:rsid w:val="000734BD"/>
    <w:rsid w:val="00073D03"/>
    <w:rsid w:val="00074C82"/>
    <w:rsid w:val="0007508A"/>
    <w:rsid w:val="00075F36"/>
    <w:rsid w:val="00075F6F"/>
    <w:rsid w:val="00077015"/>
    <w:rsid w:val="00077573"/>
    <w:rsid w:val="000776F1"/>
    <w:rsid w:val="000809A3"/>
    <w:rsid w:val="00082217"/>
    <w:rsid w:val="00082317"/>
    <w:rsid w:val="000825D0"/>
    <w:rsid w:val="00082C14"/>
    <w:rsid w:val="00082C29"/>
    <w:rsid w:val="00083822"/>
    <w:rsid w:val="000846A0"/>
    <w:rsid w:val="0008477C"/>
    <w:rsid w:val="00084D51"/>
    <w:rsid w:val="00086888"/>
    <w:rsid w:val="00086B62"/>
    <w:rsid w:val="00086D03"/>
    <w:rsid w:val="00086D4D"/>
    <w:rsid w:val="00087151"/>
    <w:rsid w:val="000876E6"/>
    <w:rsid w:val="00090641"/>
    <w:rsid w:val="00090CED"/>
    <w:rsid w:val="00090EE7"/>
    <w:rsid w:val="00090F56"/>
    <w:rsid w:val="00091862"/>
    <w:rsid w:val="0009287E"/>
    <w:rsid w:val="000928DC"/>
    <w:rsid w:val="00093B55"/>
    <w:rsid w:val="00094582"/>
    <w:rsid w:val="00094C29"/>
    <w:rsid w:val="00095A09"/>
    <w:rsid w:val="00095D47"/>
    <w:rsid w:val="00096D5F"/>
    <w:rsid w:val="00096F9F"/>
    <w:rsid w:val="000A02EB"/>
    <w:rsid w:val="000A060C"/>
    <w:rsid w:val="000A06B6"/>
    <w:rsid w:val="000A0D14"/>
    <w:rsid w:val="000A1B96"/>
    <w:rsid w:val="000A3172"/>
    <w:rsid w:val="000A4749"/>
    <w:rsid w:val="000A4A4E"/>
    <w:rsid w:val="000A4D82"/>
    <w:rsid w:val="000A52D2"/>
    <w:rsid w:val="000A59AF"/>
    <w:rsid w:val="000A5D07"/>
    <w:rsid w:val="000A5DF7"/>
    <w:rsid w:val="000A6807"/>
    <w:rsid w:val="000A6EE0"/>
    <w:rsid w:val="000A76A2"/>
    <w:rsid w:val="000A794E"/>
    <w:rsid w:val="000B0AE3"/>
    <w:rsid w:val="000B0E9A"/>
    <w:rsid w:val="000B1724"/>
    <w:rsid w:val="000B17D5"/>
    <w:rsid w:val="000B18B7"/>
    <w:rsid w:val="000B20A0"/>
    <w:rsid w:val="000B2C64"/>
    <w:rsid w:val="000B3E63"/>
    <w:rsid w:val="000B4048"/>
    <w:rsid w:val="000B4642"/>
    <w:rsid w:val="000B4AA6"/>
    <w:rsid w:val="000B5AA1"/>
    <w:rsid w:val="000B7043"/>
    <w:rsid w:val="000B7894"/>
    <w:rsid w:val="000C13A0"/>
    <w:rsid w:val="000C1D5A"/>
    <w:rsid w:val="000C253B"/>
    <w:rsid w:val="000C31D3"/>
    <w:rsid w:val="000C3664"/>
    <w:rsid w:val="000C4286"/>
    <w:rsid w:val="000C4BD7"/>
    <w:rsid w:val="000C51E4"/>
    <w:rsid w:val="000C66A9"/>
    <w:rsid w:val="000D1312"/>
    <w:rsid w:val="000D1B3F"/>
    <w:rsid w:val="000D1E72"/>
    <w:rsid w:val="000D2657"/>
    <w:rsid w:val="000D2AB7"/>
    <w:rsid w:val="000D3B77"/>
    <w:rsid w:val="000D4EB9"/>
    <w:rsid w:val="000D7B5C"/>
    <w:rsid w:val="000D7DD9"/>
    <w:rsid w:val="000E30A2"/>
    <w:rsid w:val="000E3751"/>
    <w:rsid w:val="000E3974"/>
    <w:rsid w:val="000E42E8"/>
    <w:rsid w:val="000E4567"/>
    <w:rsid w:val="000E4D24"/>
    <w:rsid w:val="000E59AA"/>
    <w:rsid w:val="000E5FAB"/>
    <w:rsid w:val="000E6F2F"/>
    <w:rsid w:val="000F011F"/>
    <w:rsid w:val="000F0ACC"/>
    <w:rsid w:val="000F1713"/>
    <w:rsid w:val="000F183C"/>
    <w:rsid w:val="000F1D1B"/>
    <w:rsid w:val="000F2867"/>
    <w:rsid w:val="000F3283"/>
    <w:rsid w:val="000F4E92"/>
    <w:rsid w:val="000F5CAC"/>
    <w:rsid w:val="000F5D44"/>
    <w:rsid w:val="000F6BC4"/>
    <w:rsid w:val="000F70CD"/>
    <w:rsid w:val="000F746E"/>
    <w:rsid w:val="00100480"/>
    <w:rsid w:val="00100BB1"/>
    <w:rsid w:val="00100F3D"/>
    <w:rsid w:val="00102B7C"/>
    <w:rsid w:val="00105303"/>
    <w:rsid w:val="001055A6"/>
    <w:rsid w:val="00105C3A"/>
    <w:rsid w:val="001060CC"/>
    <w:rsid w:val="00106295"/>
    <w:rsid w:val="001116E8"/>
    <w:rsid w:val="00111C0D"/>
    <w:rsid w:val="00112BC0"/>
    <w:rsid w:val="00113078"/>
    <w:rsid w:val="0011517F"/>
    <w:rsid w:val="001151B0"/>
    <w:rsid w:val="00117143"/>
    <w:rsid w:val="001178E3"/>
    <w:rsid w:val="00117A6E"/>
    <w:rsid w:val="00117FF5"/>
    <w:rsid w:val="00120048"/>
    <w:rsid w:val="00120283"/>
    <w:rsid w:val="00120A81"/>
    <w:rsid w:val="00124493"/>
    <w:rsid w:val="00124DBB"/>
    <w:rsid w:val="00126138"/>
    <w:rsid w:val="00126A6F"/>
    <w:rsid w:val="001276E5"/>
    <w:rsid w:val="00127947"/>
    <w:rsid w:val="00127E39"/>
    <w:rsid w:val="00131144"/>
    <w:rsid w:val="00131F06"/>
    <w:rsid w:val="00132CB1"/>
    <w:rsid w:val="001344C0"/>
    <w:rsid w:val="001353DF"/>
    <w:rsid w:val="001356B5"/>
    <w:rsid w:val="00135799"/>
    <w:rsid w:val="001357A9"/>
    <w:rsid w:val="0013592C"/>
    <w:rsid w:val="00135D75"/>
    <w:rsid w:val="00135FB0"/>
    <w:rsid w:val="00137EE9"/>
    <w:rsid w:val="001421E2"/>
    <w:rsid w:val="00142BB8"/>
    <w:rsid w:val="001467C2"/>
    <w:rsid w:val="00147575"/>
    <w:rsid w:val="00147F57"/>
    <w:rsid w:val="00150080"/>
    <w:rsid w:val="001508FA"/>
    <w:rsid w:val="001519FF"/>
    <w:rsid w:val="00151C0E"/>
    <w:rsid w:val="00151D3B"/>
    <w:rsid w:val="0015320C"/>
    <w:rsid w:val="0015345E"/>
    <w:rsid w:val="0015471D"/>
    <w:rsid w:val="00155B34"/>
    <w:rsid w:val="00156312"/>
    <w:rsid w:val="00156F10"/>
    <w:rsid w:val="00157578"/>
    <w:rsid w:val="00160B36"/>
    <w:rsid w:val="00160D0B"/>
    <w:rsid w:val="001630F6"/>
    <w:rsid w:val="00163DF4"/>
    <w:rsid w:val="00163EF8"/>
    <w:rsid w:val="00164BA8"/>
    <w:rsid w:val="00164D20"/>
    <w:rsid w:val="00164F49"/>
    <w:rsid w:val="0016574E"/>
    <w:rsid w:val="00165BB3"/>
    <w:rsid w:val="001726C8"/>
    <w:rsid w:val="001731DF"/>
    <w:rsid w:val="0017359F"/>
    <w:rsid w:val="00173E5F"/>
    <w:rsid w:val="00174376"/>
    <w:rsid w:val="00174708"/>
    <w:rsid w:val="00175A4C"/>
    <w:rsid w:val="00175DA0"/>
    <w:rsid w:val="00175E99"/>
    <w:rsid w:val="0017632C"/>
    <w:rsid w:val="00176553"/>
    <w:rsid w:val="001771E6"/>
    <w:rsid w:val="00177684"/>
    <w:rsid w:val="001806E7"/>
    <w:rsid w:val="00181174"/>
    <w:rsid w:val="00181280"/>
    <w:rsid w:val="001821D4"/>
    <w:rsid w:val="00182412"/>
    <w:rsid w:val="001828D7"/>
    <w:rsid w:val="001838E8"/>
    <w:rsid w:val="00183E07"/>
    <w:rsid w:val="00184234"/>
    <w:rsid w:val="00184350"/>
    <w:rsid w:val="0018458B"/>
    <w:rsid w:val="00185A02"/>
    <w:rsid w:val="00185BF6"/>
    <w:rsid w:val="00185C2F"/>
    <w:rsid w:val="00185E0C"/>
    <w:rsid w:val="00186220"/>
    <w:rsid w:val="00187684"/>
    <w:rsid w:val="00187D0F"/>
    <w:rsid w:val="001903CB"/>
    <w:rsid w:val="00191BEC"/>
    <w:rsid w:val="00192746"/>
    <w:rsid w:val="00192BD8"/>
    <w:rsid w:val="001930E0"/>
    <w:rsid w:val="00193A6F"/>
    <w:rsid w:val="00193B6D"/>
    <w:rsid w:val="00194398"/>
    <w:rsid w:val="00195599"/>
    <w:rsid w:val="001965F9"/>
    <w:rsid w:val="00197658"/>
    <w:rsid w:val="0019796C"/>
    <w:rsid w:val="001A04FD"/>
    <w:rsid w:val="001A06C9"/>
    <w:rsid w:val="001A0E0C"/>
    <w:rsid w:val="001A1B8A"/>
    <w:rsid w:val="001A25D2"/>
    <w:rsid w:val="001A296C"/>
    <w:rsid w:val="001A2E42"/>
    <w:rsid w:val="001A32D1"/>
    <w:rsid w:val="001A435F"/>
    <w:rsid w:val="001A5EAD"/>
    <w:rsid w:val="001A7422"/>
    <w:rsid w:val="001B1401"/>
    <w:rsid w:val="001B16D2"/>
    <w:rsid w:val="001B1778"/>
    <w:rsid w:val="001B1DA6"/>
    <w:rsid w:val="001B1DE6"/>
    <w:rsid w:val="001B27A9"/>
    <w:rsid w:val="001B29CD"/>
    <w:rsid w:val="001B3070"/>
    <w:rsid w:val="001B3623"/>
    <w:rsid w:val="001B36F7"/>
    <w:rsid w:val="001B4597"/>
    <w:rsid w:val="001B4E40"/>
    <w:rsid w:val="001B6531"/>
    <w:rsid w:val="001B66F0"/>
    <w:rsid w:val="001B7135"/>
    <w:rsid w:val="001C00D8"/>
    <w:rsid w:val="001C0E39"/>
    <w:rsid w:val="001C22D1"/>
    <w:rsid w:val="001C3705"/>
    <w:rsid w:val="001C452D"/>
    <w:rsid w:val="001C694F"/>
    <w:rsid w:val="001C70FE"/>
    <w:rsid w:val="001C76F9"/>
    <w:rsid w:val="001D0181"/>
    <w:rsid w:val="001D02ED"/>
    <w:rsid w:val="001D177D"/>
    <w:rsid w:val="001D1D21"/>
    <w:rsid w:val="001D2844"/>
    <w:rsid w:val="001D2A49"/>
    <w:rsid w:val="001D2E95"/>
    <w:rsid w:val="001D301D"/>
    <w:rsid w:val="001D3505"/>
    <w:rsid w:val="001D3D8B"/>
    <w:rsid w:val="001D3F2A"/>
    <w:rsid w:val="001D42E8"/>
    <w:rsid w:val="001D4767"/>
    <w:rsid w:val="001D492D"/>
    <w:rsid w:val="001D4F01"/>
    <w:rsid w:val="001D7F2F"/>
    <w:rsid w:val="001E0460"/>
    <w:rsid w:val="001E1A1B"/>
    <w:rsid w:val="001E1C47"/>
    <w:rsid w:val="001E1F9D"/>
    <w:rsid w:val="001E3335"/>
    <w:rsid w:val="001E338A"/>
    <w:rsid w:val="001E3C10"/>
    <w:rsid w:val="001E3C9C"/>
    <w:rsid w:val="001E3E29"/>
    <w:rsid w:val="001E4B64"/>
    <w:rsid w:val="001E5982"/>
    <w:rsid w:val="001E6407"/>
    <w:rsid w:val="001E6B09"/>
    <w:rsid w:val="001F0195"/>
    <w:rsid w:val="001F0793"/>
    <w:rsid w:val="001F34D1"/>
    <w:rsid w:val="001F3882"/>
    <w:rsid w:val="001F3C77"/>
    <w:rsid w:val="001F55C9"/>
    <w:rsid w:val="001F5849"/>
    <w:rsid w:val="001F5FA1"/>
    <w:rsid w:val="001F6CC8"/>
    <w:rsid w:val="001F7B52"/>
    <w:rsid w:val="002015CD"/>
    <w:rsid w:val="002015D4"/>
    <w:rsid w:val="00201B98"/>
    <w:rsid w:val="00202300"/>
    <w:rsid w:val="002027FA"/>
    <w:rsid w:val="002031E8"/>
    <w:rsid w:val="0020325F"/>
    <w:rsid w:val="002038D5"/>
    <w:rsid w:val="00203C21"/>
    <w:rsid w:val="002049B5"/>
    <w:rsid w:val="00204F70"/>
    <w:rsid w:val="00205092"/>
    <w:rsid w:val="002055FB"/>
    <w:rsid w:val="00205A46"/>
    <w:rsid w:val="00205F1C"/>
    <w:rsid w:val="00206120"/>
    <w:rsid w:val="00206B01"/>
    <w:rsid w:val="00206DC9"/>
    <w:rsid w:val="00207567"/>
    <w:rsid w:val="0021013F"/>
    <w:rsid w:val="00210DCA"/>
    <w:rsid w:val="0021182D"/>
    <w:rsid w:val="00212857"/>
    <w:rsid w:val="0021488F"/>
    <w:rsid w:val="002148B8"/>
    <w:rsid w:val="00214D53"/>
    <w:rsid w:val="00215615"/>
    <w:rsid w:val="00215DE0"/>
    <w:rsid w:val="00216200"/>
    <w:rsid w:val="00217043"/>
    <w:rsid w:val="002201B4"/>
    <w:rsid w:val="002203CD"/>
    <w:rsid w:val="0022092E"/>
    <w:rsid w:val="00221F3D"/>
    <w:rsid w:val="0022396D"/>
    <w:rsid w:val="00223A27"/>
    <w:rsid w:val="00223C9A"/>
    <w:rsid w:val="00224CA4"/>
    <w:rsid w:val="002267A1"/>
    <w:rsid w:val="00226A8E"/>
    <w:rsid w:val="00227702"/>
    <w:rsid w:val="00227B7C"/>
    <w:rsid w:val="00227F89"/>
    <w:rsid w:val="0023043D"/>
    <w:rsid w:val="00230AD7"/>
    <w:rsid w:val="00231036"/>
    <w:rsid w:val="00231045"/>
    <w:rsid w:val="00231713"/>
    <w:rsid w:val="00232488"/>
    <w:rsid w:val="00232813"/>
    <w:rsid w:val="00233A7D"/>
    <w:rsid w:val="002342FB"/>
    <w:rsid w:val="00235FC8"/>
    <w:rsid w:val="00236BC9"/>
    <w:rsid w:val="00236D90"/>
    <w:rsid w:val="00240A35"/>
    <w:rsid w:val="00242EA3"/>
    <w:rsid w:val="0024410A"/>
    <w:rsid w:val="002443A3"/>
    <w:rsid w:val="0024454C"/>
    <w:rsid w:val="00244C1E"/>
    <w:rsid w:val="00245791"/>
    <w:rsid w:val="002469D5"/>
    <w:rsid w:val="00247014"/>
    <w:rsid w:val="002501AB"/>
    <w:rsid w:val="00251760"/>
    <w:rsid w:val="00252E05"/>
    <w:rsid w:val="002534EF"/>
    <w:rsid w:val="00253FD9"/>
    <w:rsid w:val="00254DFB"/>
    <w:rsid w:val="00254F8E"/>
    <w:rsid w:val="002557B0"/>
    <w:rsid w:val="00256804"/>
    <w:rsid w:val="00260DB6"/>
    <w:rsid w:val="0026197F"/>
    <w:rsid w:val="00261CCF"/>
    <w:rsid w:val="00261E17"/>
    <w:rsid w:val="0026259A"/>
    <w:rsid w:val="00262902"/>
    <w:rsid w:val="00262B11"/>
    <w:rsid w:val="00262D15"/>
    <w:rsid w:val="00263ADE"/>
    <w:rsid w:val="00263DAC"/>
    <w:rsid w:val="00264278"/>
    <w:rsid w:val="00264607"/>
    <w:rsid w:val="0026490F"/>
    <w:rsid w:val="00264BFC"/>
    <w:rsid w:val="00264D21"/>
    <w:rsid w:val="002652A4"/>
    <w:rsid w:val="00265349"/>
    <w:rsid w:val="00265E8B"/>
    <w:rsid w:val="00271619"/>
    <w:rsid w:val="00271B32"/>
    <w:rsid w:val="00272F9C"/>
    <w:rsid w:val="00273D10"/>
    <w:rsid w:val="0027462E"/>
    <w:rsid w:val="0027481B"/>
    <w:rsid w:val="00276434"/>
    <w:rsid w:val="002769DC"/>
    <w:rsid w:val="002772BB"/>
    <w:rsid w:val="002775C8"/>
    <w:rsid w:val="00280436"/>
    <w:rsid w:val="00280572"/>
    <w:rsid w:val="00280C78"/>
    <w:rsid w:val="00280DD5"/>
    <w:rsid w:val="002811AD"/>
    <w:rsid w:val="002813EC"/>
    <w:rsid w:val="00284674"/>
    <w:rsid w:val="00284D2B"/>
    <w:rsid w:val="002856A4"/>
    <w:rsid w:val="002857C0"/>
    <w:rsid w:val="002858C3"/>
    <w:rsid w:val="0028762E"/>
    <w:rsid w:val="002904CC"/>
    <w:rsid w:val="002906B5"/>
    <w:rsid w:val="00291189"/>
    <w:rsid w:val="00291943"/>
    <w:rsid w:val="00291CE8"/>
    <w:rsid w:val="002924DB"/>
    <w:rsid w:val="00294EF9"/>
    <w:rsid w:val="00294F85"/>
    <w:rsid w:val="00295692"/>
    <w:rsid w:val="00295C25"/>
    <w:rsid w:val="00297C42"/>
    <w:rsid w:val="002A00B5"/>
    <w:rsid w:val="002A04E7"/>
    <w:rsid w:val="002A0F5B"/>
    <w:rsid w:val="002A1344"/>
    <w:rsid w:val="002A1367"/>
    <w:rsid w:val="002A1780"/>
    <w:rsid w:val="002A28BF"/>
    <w:rsid w:val="002A31E2"/>
    <w:rsid w:val="002A5538"/>
    <w:rsid w:val="002A55BD"/>
    <w:rsid w:val="002A594C"/>
    <w:rsid w:val="002A6AEC"/>
    <w:rsid w:val="002A73FA"/>
    <w:rsid w:val="002A77D8"/>
    <w:rsid w:val="002A77FF"/>
    <w:rsid w:val="002B0014"/>
    <w:rsid w:val="002B1380"/>
    <w:rsid w:val="002B1834"/>
    <w:rsid w:val="002B20E9"/>
    <w:rsid w:val="002B246C"/>
    <w:rsid w:val="002B2471"/>
    <w:rsid w:val="002B2542"/>
    <w:rsid w:val="002B258D"/>
    <w:rsid w:val="002B2B87"/>
    <w:rsid w:val="002B2CEE"/>
    <w:rsid w:val="002B2E39"/>
    <w:rsid w:val="002B3F70"/>
    <w:rsid w:val="002B6190"/>
    <w:rsid w:val="002B61AE"/>
    <w:rsid w:val="002B65A9"/>
    <w:rsid w:val="002B6A26"/>
    <w:rsid w:val="002B6EFE"/>
    <w:rsid w:val="002C0005"/>
    <w:rsid w:val="002C38DB"/>
    <w:rsid w:val="002C47F7"/>
    <w:rsid w:val="002C5317"/>
    <w:rsid w:val="002C7975"/>
    <w:rsid w:val="002C7A66"/>
    <w:rsid w:val="002D0C4A"/>
    <w:rsid w:val="002D1193"/>
    <w:rsid w:val="002D1A66"/>
    <w:rsid w:val="002D1AE5"/>
    <w:rsid w:val="002D2991"/>
    <w:rsid w:val="002D3EF7"/>
    <w:rsid w:val="002D4BE2"/>
    <w:rsid w:val="002D4DB2"/>
    <w:rsid w:val="002D4FF9"/>
    <w:rsid w:val="002D6A3D"/>
    <w:rsid w:val="002D6D93"/>
    <w:rsid w:val="002D7454"/>
    <w:rsid w:val="002D79E6"/>
    <w:rsid w:val="002E081C"/>
    <w:rsid w:val="002E1F15"/>
    <w:rsid w:val="002E1F59"/>
    <w:rsid w:val="002E1F7A"/>
    <w:rsid w:val="002E20B2"/>
    <w:rsid w:val="002E2688"/>
    <w:rsid w:val="002E2BDF"/>
    <w:rsid w:val="002E34A4"/>
    <w:rsid w:val="002E3C74"/>
    <w:rsid w:val="002E4AA0"/>
    <w:rsid w:val="002E55FC"/>
    <w:rsid w:val="002E5C88"/>
    <w:rsid w:val="002E5E15"/>
    <w:rsid w:val="002E7826"/>
    <w:rsid w:val="002F07C4"/>
    <w:rsid w:val="002F2814"/>
    <w:rsid w:val="002F38C7"/>
    <w:rsid w:val="002F40DB"/>
    <w:rsid w:val="002F51A6"/>
    <w:rsid w:val="002F5EA3"/>
    <w:rsid w:val="002F62FB"/>
    <w:rsid w:val="002F734F"/>
    <w:rsid w:val="003009C5"/>
    <w:rsid w:val="0030175E"/>
    <w:rsid w:val="003018D3"/>
    <w:rsid w:val="00301A64"/>
    <w:rsid w:val="00302BC8"/>
    <w:rsid w:val="00302E62"/>
    <w:rsid w:val="0030304A"/>
    <w:rsid w:val="003032B5"/>
    <w:rsid w:val="00305BD8"/>
    <w:rsid w:val="003067F6"/>
    <w:rsid w:val="00310C38"/>
    <w:rsid w:val="00310FBE"/>
    <w:rsid w:val="00311C12"/>
    <w:rsid w:val="00312213"/>
    <w:rsid w:val="00312397"/>
    <w:rsid w:val="003128CC"/>
    <w:rsid w:val="003140EC"/>
    <w:rsid w:val="00314997"/>
    <w:rsid w:val="003150C0"/>
    <w:rsid w:val="003203C8"/>
    <w:rsid w:val="0032085F"/>
    <w:rsid w:val="00320AC8"/>
    <w:rsid w:val="00320DCA"/>
    <w:rsid w:val="00320FBA"/>
    <w:rsid w:val="003224E4"/>
    <w:rsid w:val="003230B3"/>
    <w:rsid w:val="00323F43"/>
    <w:rsid w:val="003246B0"/>
    <w:rsid w:val="003247AC"/>
    <w:rsid w:val="0032524C"/>
    <w:rsid w:val="00325272"/>
    <w:rsid w:val="00325DC8"/>
    <w:rsid w:val="00326021"/>
    <w:rsid w:val="00326E78"/>
    <w:rsid w:val="003309FF"/>
    <w:rsid w:val="0033156C"/>
    <w:rsid w:val="003315B6"/>
    <w:rsid w:val="003317BD"/>
    <w:rsid w:val="00332429"/>
    <w:rsid w:val="00334AA1"/>
    <w:rsid w:val="0033521F"/>
    <w:rsid w:val="00335A12"/>
    <w:rsid w:val="00337762"/>
    <w:rsid w:val="00337F51"/>
    <w:rsid w:val="003423E0"/>
    <w:rsid w:val="0034249D"/>
    <w:rsid w:val="00342566"/>
    <w:rsid w:val="0034280E"/>
    <w:rsid w:val="00342E38"/>
    <w:rsid w:val="0034376E"/>
    <w:rsid w:val="00345953"/>
    <w:rsid w:val="003468AE"/>
    <w:rsid w:val="00351B22"/>
    <w:rsid w:val="0035297E"/>
    <w:rsid w:val="00353015"/>
    <w:rsid w:val="0035347C"/>
    <w:rsid w:val="003537DC"/>
    <w:rsid w:val="003537FE"/>
    <w:rsid w:val="00353852"/>
    <w:rsid w:val="00354488"/>
    <w:rsid w:val="0035474F"/>
    <w:rsid w:val="003552D5"/>
    <w:rsid w:val="0035641F"/>
    <w:rsid w:val="00356AB6"/>
    <w:rsid w:val="00356ECB"/>
    <w:rsid w:val="00356EF8"/>
    <w:rsid w:val="00357ACE"/>
    <w:rsid w:val="0036001B"/>
    <w:rsid w:val="00361CAA"/>
    <w:rsid w:val="0036238F"/>
    <w:rsid w:val="00362520"/>
    <w:rsid w:val="00362B7C"/>
    <w:rsid w:val="00362BF9"/>
    <w:rsid w:val="00364091"/>
    <w:rsid w:val="003645B6"/>
    <w:rsid w:val="00364E0D"/>
    <w:rsid w:val="00365322"/>
    <w:rsid w:val="00365539"/>
    <w:rsid w:val="003659F5"/>
    <w:rsid w:val="00365AFE"/>
    <w:rsid w:val="00366E8C"/>
    <w:rsid w:val="00367271"/>
    <w:rsid w:val="0037038A"/>
    <w:rsid w:val="003703EF"/>
    <w:rsid w:val="00370F10"/>
    <w:rsid w:val="00371789"/>
    <w:rsid w:val="0037207E"/>
    <w:rsid w:val="003729BA"/>
    <w:rsid w:val="00376350"/>
    <w:rsid w:val="003765C6"/>
    <w:rsid w:val="00377805"/>
    <w:rsid w:val="00380197"/>
    <w:rsid w:val="00381142"/>
    <w:rsid w:val="003814C7"/>
    <w:rsid w:val="00382664"/>
    <w:rsid w:val="00382742"/>
    <w:rsid w:val="00383690"/>
    <w:rsid w:val="00383D2D"/>
    <w:rsid w:val="003840E7"/>
    <w:rsid w:val="00384670"/>
    <w:rsid w:val="003852AC"/>
    <w:rsid w:val="00385C53"/>
    <w:rsid w:val="0038748E"/>
    <w:rsid w:val="003900F8"/>
    <w:rsid w:val="003901CC"/>
    <w:rsid w:val="003904DA"/>
    <w:rsid w:val="00390C87"/>
    <w:rsid w:val="003910A5"/>
    <w:rsid w:val="00391139"/>
    <w:rsid w:val="003914BE"/>
    <w:rsid w:val="003920D2"/>
    <w:rsid w:val="0039268B"/>
    <w:rsid w:val="00392836"/>
    <w:rsid w:val="003931F1"/>
    <w:rsid w:val="003933C3"/>
    <w:rsid w:val="0039380B"/>
    <w:rsid w:val="00393841"/>
    <w:rsid w:val="00393DBB"/>
    <w:rsid w:val="00395116"/>
    <w:rsid w:val="00395339"/>
    <w:rsid w:val="00396F9C"/>
    <w:rsid w:val="00397F8A"/>
    <w:rsid w:val="003A0DF1"/>
    <w:rsid w:val="003A1A4B"/>
    <w:rsid w:val="003A40B2"/>
    <w:rsid w:val="003A41A6"/>
    <w:rsid w:val="003A49AE"/>
    <w:rsid w:val="003A57F0"/>
    <w:rsid w:val="003A6746"/>
    <w:rsid w:val="003A73EB"/>
    <w:rsid w:val="003A7F2A"/>
    <w:rsid w:val="003B0772"/>
    <w:rsid w:val="003B0C33"/>
    <w:rsid w:val="003B2600"/>
    <w:rsid w:val="003B260A"/>
    <w:rsid w:val="003B2725"/>
    <w:rsid w:val="003B2C71"/>
    <w:rsid w:val="003B2D67"/>
    <w:rsid w:val="003B484E"/>
    <w:rsid w:val="003B4914"/>
    <w:rsid w:val="003B4ECF"/>
    <w:rsid w:val="003B5D2D"/>
    <w:rsid w:val="003B5F06"/>
    <w:rsid w:val="003B5FF8"/>
    <w:rsid w:val="003B6460"/>
    <w:rsid w:val="003B6B57"/>
    <w:rsid w:val="003B6EB6"/>
    <w:rsid w:val="003B6FBB"/>
    <w:rsid w:val="003C077C"/>
    <w:rsid w:val="003C0E1E"/>
    <w:rsid w:val="003C1407"/>
    <w:rsid w:val="003C34E9"/>
    <w:rsid w:val="003C34F6"/>
    <w:rsid w:val="003C481D"/>
    <w:rsid w:val="003C4EE7"/>
    <w:rsid w:val="003C59EB"/>
    <w:rsid w:val="003C5DF8"/>
    <w:rsid w:val="003C61B0"/>
    <w:rsid w:val="003C631A"/>
    <w:rsid w:val="003C67BA"/>
    <w:rsid w:val="003D1536"/>
    <w:rsid w:val="003D315F"/>
    <w:rsid w:val="003D3D12"/>
    <w:rsid w:val="003D4867"/>
    <w:rsid w:val="003D5C49"/>
    <w:rsid w:val="003D5E40"/>
    <w:rsid w:val="003D5F38"/>
    <w:rsid w:val="003D655D"/>
    <w:rsid w:val="003D6B3E"/>
    <w:rsid w:val="003D6E59"/>
    <w:rsid w:val="003D7486"/>
    <w:rsid w:val="003D7D03"/>
    <w:rsid w:val="003E0D7C"/>
    <w:rsid w:val="003E0F3C"/>
    <w:rsid w:val="003E270C"/>
    <w:rsid w:val="003E2806"/>
    <w:rsid w:val="003E3478"/>
    <w:rsid w:val="003E35CC"/>
    <w:rsid w:val="003E43E9"/>
    <w:rsid w:val="003E4518"/>
    <w:rsid w:val="003E48CC"/>
    <w:rsid w:val="003E55D9"/>
    <w:rsid w:val="003E5F65"/>
    <w:rsid w:val="003E6449"/>
    <w:rsid w:val="003E7F11"/>
    <w:rsid w:val="003F0408"/>
    <w:rsid w:val="003F08E3"/>
    <w:rsid w:val="003F0F39"/>
    <w:rsid w:val="003F1247"/>
    <w:rsid w:val="003F12C1"/>
    <w:rsid w:val="003F385E"/>
    <w:rsid w:val="003F4F2C"/>
    <w:rsid w:val="003F5184"/>
    <w:rsid w:val="003F5934"/>
    <w:rsid w:val="004008BD"/>
    <w:rsid w:val="00401D60"/>
    <w:rsid w:val="00402089"/>
    <w:rsid w:val="00402977"/>
    <w:rsid w:val="00402AC9"/>
    <w:rsid w:val="0040527D"/>
    <w:rsid w:val="00406C76"/>
    <w:rsid w:val="004073D3"/>
    <w:rsid w:val="004118F4"/>
    <w:rsid w:val="00411EB6"/>
    <w:rsid w:val="00412070"/>
    <w:rsid w:val="00413EEC"/>
    <w:rsid w:val="00414BE8"/>
    <w:rsid w:val="00414F69"/>
    <w:rsid w:val="00414FB1"/>
    <w:rsid w:val="00415CC9"/>
    <w:rsid w:val="0041737E"/>
    <w:rsid w:val="004175E3"/>
    <w:rsid w:val="004206A0"/>
    <w:rsid w:val="00420E87"/>
    <w:rsid w:val="00421CBB"/>
    <w:rsid w:val="00421F7A"/>
    <w:rsid w:val="00422743"/>
    <w:rsid w:val="00423A4A"/>
    <w:rsid w:val="00423E18"/>
    <w:rsid w:val="004262CE"/>
    <w:rsid w:val="0042661E"/>
    <w:rsid w:val="00427064"/>
    <w:rsid w:val="00430154"/>
    <w:rsid w:val="00430A5A"/>
    <w:rsid w:val="00434112"/>
    <w:rsid w:val="00436175"/>
    <w:rsid w:val="00436AA3"/>
    <w:rsid w:val="004372BA"/>
    <w:rsid w:val="00437E53"/>
    <w:rsid w:val="004419A5"/>
    <w:rsid w:val="00442143"/>
    <w:rsid w:val="00442498"/>
    <w:rsid w:val="004440C2"/>
    <w:rsid w:val="00444B8B"/>
    <w:rsid w:val="0044685F"/>
    <w:rsid w:val="004469B9"/>
    <w:rsid w:val="00446AC0"/>
    <w:rsid w:val="00446B3C"/>
    <w:rsid w:val="004471AE"/>
    <w:rsid w:val="004503E0"/>
    <w:rsid w:val="00450403"/>
    <w:rsid w:val="004507F1"/>
    <w:rsid w:val="00451269"/>
    <w:rsid w:val="004513DF"/>
    <w:rsid w:val="004515F7"/>
    <w:rsid w:val="004517C1"/>
    <w:rsid w:val="00454B4B"/>
    <w:rsid w:val="00455AF5"/>
    <w:rsid w:val="00456337"/>
    <w:rsid w:val="004568FC"/>
    <w:rsid w:val="00457E8F"/>
    <w:rsid w:val="00457FC7"/>
    <w:rsid w:val="00460066"/>
    <w:rsid w:val="004603D6"/>
    <w:rsid w:val="004607DA"/>
    <w:rsid w:val="0046177E"/>
    <w:rsid w:val="00462142"/>
    <w:rsid w:val="00463D39"/>
    <w:rsid w:val="00463DF9"/>
    <w:rsid w:val="00464D32"/>
    <w:rsid w:val="004669EC"/>
    <w:rsid w:val="00467EE3"/>
    <w:rsid w:val="004709AE"/>
    <w:rsid w:val="00470E92"/>
    <w:rsid w:val="00472155"/>
    <w:rsid w:val="00472899"/>
    <w:rsid w:val="00473042"/>
    <w:rsid w:val="004737CE"/>
    <w:rsid w:val="00473BDA"/>
    <w:rsid w:val="00473E21"/>
    <w:rsid w:val="00474675"/>
    <w:rsid w:val="004749B8"/>
    <w:rsid w:val="00475259"/>
    <w:rsid w:val="004758BA"/>
    <w:rsid w:val="00475E9D"/>
    <w:rsid w:val="004761D0"/>
    <w:rsid w:val="00476943"/>
    <w:rsid w:val="00476C67"/>
    <w:rsid w:val="004802B2"/>
    <w:rsid w:val="004812BC"/>
    <w:rsid w:val="00482CB3"/>
    <w:rsid w:val="00483018"/>
    <w:rsid w:val="00483D4F"/>
    <w:rsid w:val="00483FBE"/>
    <w:rsid w:val="00484E2B"/>
    <w:rsid w:val="00484E46"/>
    <w:rsid w:val="00484F1A"/>
    <w:rsid w:val="004850F5"/>
    <w:rsid w:val="0048610E"/>
    <w:rsid w:val="00486981"/>
    <w:rsid w:val="00486B6C"/>
    <w:rsid w:val="00486F74"/>
    <w:rsid w:val="00487F82"/>
    <w:rsid w:val="00490569"/>
    <w:rsid w:val="004912D8"/>
    <w:rsid w:val="00491D60"/>
    <w:rsid w:val="00491F52"/>
    <w:rsid w:val="0049280A"/>
    <w:rsid w:val="00493109"/>
    <w:rsid w:val="00493182"/>
    <w:rsid w:val="004934A6"/>
    <w:rsid w:val="00493BE0"/>
    <w:rsid w:val="004940BE"/>
    <w:rsid w:val="004942D3"/>
    <w:rsid w:val="004949AD"/>
    <w:rsid w:val="00495492"/>
    <w:rsid w:val="00495ED1"/>
    <w:rsid w:val="00496FD8"/>
    <w:rsid w:val="0049717D"/>
    <w:rsid w:val="004A1343"/>
    <w:rsid w:val="004A27E6"/>
    <w:rsid w:val="004A2853"/>
    <w:rsid w:val="004A59C2"/>
    <w:rsid w:val="004A6556"/>
    <w:rsid w:val="004B00F3"/>
    <w:rsid w:val="004B018B"/>
    <w:rsid w:val="004B0238"/>
    <w:rsid w:val="004B1B2A"/>
    <w:rsid w:val="004B1C1E"/>
    <w:rsid w:val="004B1E8A"/>
    <w:rsid w:val="004B3131"/>
    <w:rsid w:val="004B341A"/>
    <w:rsid w:val="004B383F"/>
    <w:rsid w:val="004B3D0E"/>
    <w:rsid w:val="004B47BA"/>
    <w:rsid w:val="004B5DB5"/>
    <w:rsid w:val="004B5DE1"/>
    <w:rsid w:val="004B5FEF"/>
    <w:rsid w:val="004B6BE0"/>
    <w:rsid w:val="004B7CB0"/>
    <w:rsid w:val="004B7D8C"/>
    <w:rsid w:val="004C03E2"/>
    <w:rsid w:val="004C236D"/>
    <w:rsid w:val="004C311C"/>
    <w:rsid w:val="004C4D8C"/>
    <w:rsid w:val="004C66D9"/>
    <w:rsid w:val="004C789D"/>
    <w:rsid w:val="004D0005"/>
    <w:rsid w:val="004D19AD"/>
    <w:rsid w:val="004D29D6"/>
    <w:rsid w:val="004D2C5B"/>
    <w:rsid w:val="004D35E0"/>
    <w:rsid w:val="004D3E46"/>
    <w:rsid w:val="004D4A6E"/>
    <w:rsid w:val="004D67C3"/>
    <w:rsid w:val="004D7006"/>
    <w:rsid w:val="004D774D"/>
    <w:rsid w:val="004E207C"/>
    <w:rsid w:val="004E4C42"/>
    <w:rsid w:val="004E5A3A"/>
    <w:rsid w:val="004E5B12"/>
    <w:rsid w:val="004E6CED"/>
    <w:rsid w:val="004E7062"/>
    <w:rsid w:val="004E70C0"/>
    <w:rsid w:val="004E7492"/>
    <w:rsid w:val="004F0F35"/>
    <w:rsid w:val="004F0FD0"/>
    <w:rsid w:val="004F1AA5"/>
    <w:rsid w:val="004F3B99"/>
    <w:rsid w:val="004F4408"/>
    <w:rsid w:val="004F5660"/>
    <w:rsid w:val="004F66C7"/>
    <w:rsid w:val="004F6A50"/>
    <w:rsid w:val="004F6DDB"/>
    <w:rsid w:val="004F77ED"/>
    <w:rsid w:val="004F7B8F"/>
    <w:rsid w:val="00500454"/>
    <w:rsid w:val="0050061C"/>
    <w:rsid w:val="00500A8E"/>
    <w:rsid w:val="00501A2C"/>
    <w:rsid w:val="00501F8A"/>
    <w:rsid w:val="00502E4A"/>
    <w:rsid w:val="00502F8C"/>
    <w:rsid w:val="00503D03"/>
    <w:rsid w:val="00503E59"/>
    <w:rsid w:val="0050456F"/>
    <w:rsid w:val="00504954"/>
    <w:rsid w:val="00504CC6"/>
    <w:rsid w:val="00505423"/>
    <w:rsid w:val="005054E2"/>
    <w:rsid w:val="00506117"/>
    <w:rsid w:val="00506333"/>
    <w:rsid w:val="005072BE"/>
    <w:rsid w:val="005072E2"/>
    <w:rsid w:val="00507502"/>
    <w:rsid w:val="005077AD"/>
    <w:rsid w:val="005106B4"/>
    <w:rsid w:val="00511BAD"/>
    <w:rsid w:val="00511D25"/>
    <w:rsid w:val="005121D0"/>
    <w:rsid w:val="00512246"/>
    <w:rsid w:val="0051224A"/>
    <w:rsid w:val="00512D83"/>
    <w:rsid w:val="00513F8C"/>
    <w:rsid w:val="00514734"/>
    <w:rsid w:val="00514AA9"/>
    <w:rsid w:val="005150DB"/>
    <w:rsid w:val="0051689E"/>
    <w:rsid w:val="0051734D"/>
    <w:rsid w:val="0052065F"/>
    <w:rsid w:val="00521F1F"/>
    <w:rsid w:val="0052243F"/>
    <w:rsid w:val="00522AA3"/>
    <w:rsid w:val="00523F67"/>
    <w:rsid w:val="005242D8"/>
    <w:rsid w:val="00524506"/>
    <w:rsid w:val="00525BB4"/>
    <w:rsid w:val="00530CED"/>
    <w:rsid w:val="005310C8"/>
    <w:rsid w:val="0053168C"/>
    <w:rsid w:val="005323EF"/>
    <w:rsid w:val="00534A3E"/>
    <w:rsid w:val="00535113"/>
    <w:rsid w:val="0053579D"/>
    <w:rsid w:val="00535EFB"/>
    <w:rsid w:val="0053631B"/>
    <w:rsid w:val="005365AA"/>
    <w:rsid w:val="005376A8"/>
    <w:rsid w:val="00540CE6"/>
    <w:rsid w:val="005415AA"/>
    <w:rsid w:val="00543284"/>
    <w:rsid w:val="00545EBB"/>
    <w:rsid w:val="005473CC"/>
    <w:rsid w:val="00547499"/>
    <w:rsid w:val="005475E1"/>
    <w:rsid w:val="005504ED"/>
    <w:rsid w:val="0055088E"/>
    <w:rsid w:val="00551048"/>
    <w:rsid w:val="00551B92"/>
    <w:rsid w:val="00553365"/>
    <w:rsid w:val="00554239"/>
    <w:rsid w:val="00554775"/>
    <w:rsid w:val="0055496A"/>
    <w:rsid w:val="00555D57"/>
    <w:rsid w:val="0055670E"/>
    <w:rsid w:val="0055721E"/>
    <w:rsid w:val="0055761F"/>
    <w:rsid w:val="00557E14"/>
    <w:rsid w:val="00557F58"/>
    <w:rsid w:val="0056004F"/>
    <w:rsid w:val="00560090"/>
    <w:rsid w:val="0056161B"/>
    <w:rsid w:val="00561F6C"/>
    <w:rsid w:val="00564723"/>
    <w:rsid w:val="00564A13"/>
    <w:rsid w:val="00565162"/>
    <w:rsid w:val="0056547F"/>
    <w:rsid w:val="00565C5C"/>
    <w:rsid w:val="00566063"/>
    <w:rsid w:val="0056709A"/>
    <w:rsid w:val="0056756D"/>
    <w:rsid w:val="00567E14"/>
    <w:rsid w:val="00570132"/>
    <w:rsid w:val="00570824"/>
    <w:rsid w:val="00571A76"/>
    <w:rsid w:val="00571E46"/>
    <w:rsid w:val="00572741"/>
    <w:rsid w:val="00572F2C"/>
    <w:rsid w:val="00573343"/>
    <w:rsid w:val="0057390A"/>
    <w:rsid w:val="00573F71"/>
    <w:rsid w:val="0057407C"/>
    <w:rsid w:val="0057461C"/>
    <w:rsid w:val="0057575C"/>
    <w:rsid w:val="00576182"/>
    <w:rsid w:val="0057672B"/>
    <w:rsid w:val="00576943"/>
    <w:rsid w:val="00576E34"/>
    <w:rsid w:val="00577BDD"/>
    <w:rsid w:val="00577F7B"/>
    <w:rsid w:val="005803B3"/>
    <w:rsid w:val="00580506"/>
    <w:rsid w:val="00580B38"/>
    <w:rsid w:val="00580EE8"/>
    <w:rsid w:val="005815BF"/>
    <w:rsid w:val="00583CBD"/>
    <w:rsid w:val="005845B8"/>
    <w:rsid w:val="005856F9"/>
    <w:rsid w:val="00586047"/>
    <w:rsid w:val="00587EAC"/>
    <w:rsid w:val="005917CF"/>
    <w:rsid w:val="00591A07"/>
    <w:rsid w:val="00592460"/>
    <w:rsid w:val="00592AA1"/>
    <w:rsid w:val="00592B41"/>
    <w:rsid w:val="00593132"/>
    <w:rsid w:val="00593DC8"/>
    <w:rsid w:val="00594783"/>
    <w:rsid w:val="00594D34"/>
    <w:rsid w:val="005965DB"/>
    <w:rsid w:val="005966CA"/>
    <w:rsid w:val="00596AB7"/>
    <w:rsid w:val="005974D3"/>
    <w:rsid w:val="00597516"/>
    <w:rsid w:val="00597519"/>
    <w:rsid w:val="005A0919"/>
    <w:rsid w:val="005A18B1"/>
    <w:rsid w:val="005A19B5"/>
    <w:rsid w:val="005A26A0"/>
    <w:rsid w:val="005A36F6"/>
    <w:rsid w:val="005A49C4"/>
    <w:rsid w:val="005A54A1"/>
    <w:rsid w:val="005A5761"/>
    <w:rsid w:val="005A6595"/>
    <w:rsid w:val="005A740B"/>
    <w:rsid w:val="005B03BE"/>
    <w:rsid w:val="005B07FA"/>
    <w:rsid w:val="005B12F5"/>
    <w:rsid w:val="005B1C32"/>
    <w:rsid w:val="005B22F8"/>
    <w:rsid w:val="005B2626"/>
    <w:rsid w:val="005B293D"/>
    <w:rsid w:val="005B5A41"/>
    <w:rsid w:val="005B6210"/>
    <w:rsid w:val="005B6890"/>
    <w:rsid w:val="005B71EE"/>
    <w:rsid w:val="005C0451"/>
    <w:rsid w:val="005C0E4E"/>
    <w:rsid w:val="005C2A29"/>
    <w:rsid w:val="005C309C"/>
    <w:rsid w:val="005C32FA"/>
    <w:rsid w:val="005C3902"/>
    <w:rsid w:val="005C583D"/>
    <w:rsid w:val="005C5A72"/>
    <w:rsid w:val="005C5A9D"/>
    <w:rsid w:val="005C6BA7"/>
    <w:rsid w:val="005C7BCB"/>
    <w:rsid w:val="005D039D"/>
    <w:rsid w:val="005D0E57"/>
    <w:rsid w:val="005D1634"/>
    <w:rsid w:val="005D260E"/>
    <w:rsid w:val="005D330C"/>
    <w:rsid w:val="005D33DC"/>
    <w:rsid w:val="005D3481"/>
    <w:rsid w:val="005D419C"/>
    <w:rsid w:val="005D4BB3"/>
    <w:rsid w:val="005D4E82"/>
    <w:rsid w:val="005D509B"/>
    <w:rsid w:val="005D5CA4"/>
    <w:rsid w:val="005D60DF"/>
    <w:rsid w:val="005D68BC"/>
    <w:rsid w:val="005D6F4B"/>
    <w:rsid w:val="005D7535"/>
    <w:rsid w:val="005E06F0"/>
    <w:rsid w:val="005E154E"/>
    <w:rsid w:val="005E1663"/>
    <w:rsid w:val="005E2129"/>
    <w:rsid w:val="005E2D2B"/>
    <w:rsid w:val="005E4B18"/>
    <w:rsid w:val="005E502F"/>
    <w:rsid w:val="005E68AB"/>
    <w:rsid w:val="005E7B0C"/>
    <w:rsid w:val="005F044A"/>
    <w:rsid w:val="005F1BFC"/>
    <w:rsid w:val="005F2E53"/>
    <w:rsid w:val="005F36F9"/>
    <w:rsid w:val="005F4002"/>
    <w:rsid w:val="005F40A2"/>
    <w:rsid w:val="005F734F"/>
    <w:rsid w:val="005F7361"/>
    <w:rsid w:val="005F79DE"/>
    <w:rsid w:val="00600CD4"/>
    <w:rsid w:val="0060102E"/>
    <w:rsid w:val="00601283"/>
    <w:rsid w:val="00603BDE"/>
    <w:rsid w:val="006045E0"/>
    <w:rsid w:val="0060483F"/>
    <w:rsid w:val="006069F4"/>
    <w:rsid w:val="00606CBF"/>
    <w:rsid w:val="00607CB8"/>
    <w:rsid w:val="00607D5B"/>
    <w:rsid w:val="00610C3C"/>
    <w:rsid w:val="0061288A"/>
    <w:rsid w:val="006128C2"/>
    <w:rsid w:val="006132D8"/>
    <w:rsid w:val="00614FD4"/>
    <w:rsid w:val="0061519A"/>
    <w:rsid w:val="0061531D"/>
    <w:rsid w:val="00615BBF"/>
    <w:rsid w:val="006160EC"/>
    <w:rsid w:val="006161E9"/>
    <w:rsid w:val="00617DBF"/>
    <w:rsid w:val="0062063A"/>
    <w:rsid w:val="00620DA4"/>
    <w:rsid w:val="00621479"/>
    <w:rsid w:val="006225B9"/>
    <w:rsid w:val="00622A6F"/>
    <w:rsid w:val="00623200"/>
    <w:rsid w:val="00623323"/>
    <w:rsid w:val="00624C7D"/>
    <w:rsid w:val="006253AA"/>
    <w:rsid w:val="00625C8F"/>
    <w:rsid w:val="006261FE"/>
    <w:rsid w:val="00626213"/>
    <w:rsid w:val="0062651C"/>
    <w:rsid w:val="006266C7"/>
    <w:rsid w:val="006266F2"/>
    <w:rsid w:val="006273F2"/>
    <w:rsid w:val="0062760D"/>
    <w:rsid w:val="0062787E"/>
    <w:rsid w:val="0063033D"/>
    <w:rsid w:val="006306F5"/>
    <w:rsid w:val="0063087C"/>
    <w:rsid w:val="0063166F"/>
    <w:rsid w:val="00632434"/>
    <w:rsid w:val="00632F28"/>
    <w:rsid w:val="006336C0"/>
    <w:rsid w:val="00634388"/>
    <w:rsid w:val="00634807"/>
    <w:rsid w:val="00634E1A"/>
    <w:rsid w:val="006354BA"/>
    <w:rsid w:val="00635B10"/>
    <w:rsid w:val="00640914"/>
    <w:rsid w:val="00640CF7"/>
    <w:rsid w:val="00641B76"/>
    <w:rsid w:val="00642BCB"/>
    <w:rsid w:val="006437F8"/>
    <w:rsid w:val="0064399B"/>
    <w:rsid w:val="00644DFB"/>
    <w:rsid w:val="006454E1"/>
    <w:rsid w:val="00645FCB"/>
    <w:rsid w:val="00646787"/>
    <w:rsid w:val="00646C6A"/>
    <w:rsid w:val="00647490"/>
    <w:rsid w:val="006501E6"/>
    <w:rsid w:val="00650CDC"/>
    <w:rsid w:val="00651485"/>
    <w:rsid w:val="00652C0C"/>
    <w:rsid w:val="00652ECB"/>
    <w:rsid w:val="0065318F"/>
    <w:rsid w:val="006531EF"/>
    <w:rsid w:val="00654624"/>
    <w:rsid w:val="006548DD"/>
    <w:rsid w:val="00654B14"/>
    <w:rsid w:val="006550B1"/>
    <w:rsid w:val="006555BE"/>
    <w:rsid w:val="00655962"/>
    <w:rsid w:val="00655B68"/>
    <w:rsid w:val="00655E73"/>
    <w:rsid w:val="00656DF8"/>
    <w:rsid w:val="00657B52"/>
    <w:rsid w:val="006611D9"/>
    <w:rsid w:val="00661464"/>
    <w:rsid w:val="0066283E"/>
    <w:rsid w:val="0066332D"/>
    <w:rsid w:val="00663A28"/>
    <w:rsid w:val="00663CDB"/>
    <w:rsid w:val="0066476D"/>
    <w:rsid w:val="00664D93"/>
    <w:rsid w:val="006667C4"/>
    <w:rsid w:val="00666BC9"/>
    <w:rsid w:val="00666C52"/>
    <w:rsid w:val="00667938"/>
    <w:rsid w:val="00667D23"/>
    <w:rsid w:val="00667DE2"/>
    <w:rsid w:val="00671DE3"/>
    <w:rsid w:val="006735AB"/>
    <w:rsid w:val="0067362D"/>
    <w:rsid w:val="006738E0"/>
    <w:rsid w:val="00674C50"/>
    <w:rsid w:val="00676158"/>
    <w:rsid w:val="006762FD"/>
    <w:rsid w:val="006763E0"/>
    <w:rsid w:val="00677120"/>
    <w:rsid w:val="00680367"/>
    <w:rsid w:val="006809B0"/>
    <w:rsid w:val="00680EC1"/>
    <w:rsid w:val="006811AF"/>
    <w:rsid w:val="00681EFA"/>
    <w:rsid w:val="00682095"/>
    <w:rsid w:val="00683E2F"/>
    <w:rsid w:val="00685053"/>
    <w:rsid w:val="00685282"/>
    <w:rsid w:val="00685BDD"/>
    <w:rsid w:val="00685DCE"/>
    <w:rsid w:val="00690EDD"/>
    <w:rsid w:val="0069102E"/>
    <w:rsid w:val="0069276A"/>
    <w:rsid w:val="00692E9E"/>
    <w:rsid w:val="0069381C"/>
    <w:rsid w:val="006939DD"/>
    <w:rsid w:val="006944B6"/>
    <w:rsid w:val="006944D1"/>
    <w:rsid w:val="00694951"/>
    <w:rsid w:val="00694C49"/>
    <w:rsid w:val="00694D59"/>
    <w:rsid w:val="00695997"/>
    <w:rsid w:val="00696318"/>
    <w:rsid w:val="00696605"/>
    <w:rsid w:val="006A06E6"/>
    <w:rsid w:val="006A1B1F"/>
    <w:rsid w:val="006A200A"/>
    <w:rsid w:val="006A2154"/>
    <w:rsid w:val="006A2A2A"/>
    <w:rsid w:val="006A3110"/>
    <w:rsid w:val="006A46F7"/>
    <w:rsid w:val="006A4E75"/>
    <w:rsid w:val="006A5982"/>
    <w:rsid w:val="006A62E3"/>
    <w:rsid w:val="006A7E43"/>
    <w:rsid w:val="006B02AD"/>
    <w:rsid w:val="006B05AC"/>
    <w:rsid w:val="006B06AB"/>
    <w:rsid w:val="006B175A"/>
    <w:rsid w:val="006B2D32"/>
    <w:rsid w:val="006B42DC"/>
    <w:rsid w:val="006B4538"/>
    <w:rsid w:val="006B466F"/>
    <w:rsid w:val="006B5F9E"/>
    <w:rsid w:val="006B6C1F"/>
    <w:rsid w:val="006B6FBA"/>
    <w:rsid w:val="006C15BF"/>
    <w:rsid w:val="006C182E"/>
    <w:rsid w:val="006C1CE0"/>
    <w:rsid w:val="006C20A1"/>
    <w:rsid w:val="006C381F"/>
    <w:rsid w:val="006C3AAD"/>
    <w:rsid w:val="006C3C08"/>
    <w:rsid w:val="006C3EEF"/>
    <w:rsid w:val="006C4467"/>
    <w:rsid w:val="006C44D0"/>
    <w:rsid w:val="006C458B"/>
    <w:rsid w:val="006C516D"/>
    <w:rsid w:val="006C538B"/>
    <w:rsid w:val="006C58D2"/>
    <w:rsid w:val="006C5EBE"/>
    <w:rsid w:val="006C6A58"/>
    <w:rsid w:val="006C72AC"/>
    <w:rsid w:val="006C7427"/>
    <w:rsid w:val="006C78B5"/>
    <w:rsid w:val="006D00D1"/>
    <w:rsid w:val="006D0B9D"/>
    <w:rsid w:val="006D2985"/>
    <w:rsid w:val="006D4176"/>
    <w:rsid w:val="006D58FD"/>
    <w:rsid w:val="006D6309"/>
    <w:rsid w:val="006D632D"/>
    <w:rsid w:val="006D6C5F"/>
    <w:rsid w:val="006D6C89"/>
    <w:rsid w:val="006D7D5A"/>
    <w:rsid w:val="006E0327"/>
    <w:rsid w:val="006E0AE5"/>
    <w:rsid w:val="006E176E"/>
    <w:rsid w:val="006E22CF"/>
    <w:rsid w:val="006E2F4A"/>
    <w:rsid w:val="006E31F7"/>
    <w:rsid w:val="006E33D2"/>
    <w:rsid w:val="006E46F8"/>
    <w:rsid w:val="006E5D6E"/>
    <w:rsid w:val="006E6235"/>
    <w:rsid w:val="006F0310"/>
    <w:rsid w:val="006F0752"/>
    <w:rsid w:val="006F0AD8"/>
    <w:rsid w:val="006F16A7"/>
    <w:rsid w:val="006F20A2"/>
    <w:rsid w:val="006F442F"/>
    <w:rsid w:val="006F467B"/>
    <w:rsid w:val="006F4768"/>
    <w:rsid w:val="006F4C81"/>
    <w:rsid w:val="006F60A0"/>
    <w:rsid w:val="006F624B"/>
    <w:rsid w:val="007003A0"/>
    <w:rsid w:val="00700924"/>
    <w:rsid w:val="00701464"/>
    <w:rsid w:val="00701D95"/>
    <w:rsid w:val="007057AA"/>
    <w:rsid w:val="007063CA"/>
    <w:rsid w:val="00707B09"/>
    <w:rsid w:val="00707E5C"/>
    <w:rsid w:val="00711900"/>
    <w:rsid w:val="007119C9"/>
    <w:rsid w:val="00712069"/>
    <w:rsid w:val="007139B6"/>
    <w:rsid w:val="00715C93"/>
    <w:rsid w:val="00717351"/>
    <w:rsid w:val="00717512"/>
    <w:rsid w:val="00717A88"/>
    <w:rsid w:val="00717CDF"/>
    <w:rsid w:val="00717DDB"/>
    <w:rsid w:val="00721EEA"/>
    <w:rsid w:val="00723EF3"/>
    <w:rsid w:val="00724501"/>
    <w:rsid w:val="00724D16"/>
    <w:rsid w:val="007253DB"/>
    <w:rsid w:val="00733038"/>
    <w:rsid w:val="007330E3"/>
    <w:rsid w:val="007334F7"/>
    <w:rsid w:val="00733665"/>
    <w:rsid w:val="007337CB"/>
    <w:rsid w:val="00733B35"/>
    <w:rsid w:val="007341F9"/>
    <w:rsid w:val="0073646C"/>
    <w:rsid w:val="007365E2"/>
    <w:rsid w:val="00736E51"/>
    <w:rsid w:val="00737882"/>
    <w:rsid w:val="00737D33"/>
    <w:rsid w:val="00740137"/>
    <w:rsid w:val="00740CEF"/>
    <w:rsid w:val="00742736"/>
    <w:rsid w:val="00743A3A"/>
    <w:rsid w:val="0074449F"/>
    <w:rsid w:val="00744BF6"/>
    <w:rsid w:val="00745143"/>
    <w:rsid w:val="007457E5"/>
    <w:rsid w:val="00746ED4"/>
    <w:rsid w:val="007478A1"/>
    <w:rsid w:val="00750A9A"/>
    <w:rsid w:val="0075160E"/>
    <w:rsid w:val="00753377"/>
    <w:rsid w:val="007536F4"/>
    <w:rsid w:val="007562CC"/>
    <w:rsid w:val="00756A64"/>
    <w:rsid w:val="00757C72"/>
    <w:rsid w:val="00757ED1"/>
    <w:rsid w:val="00760E48"/>
    <w:rsid w:val="007625C6"/>
    <w:rsid w:val="00762803"/>
    <w:rsid w:val="00762B5E"/>
    <w:rsid w:val="00763A3D"/>
    <w:rsid w:val="00763F1E"/>
    <w:rsid w:val="00764749"/>
    <w:rsid w:val="00765428"/>
    <w:rsid w:val="007706BF"/>
    <w:rsid w:val="00770F78"/>
    <w:rsid w:val="00771215"/>
    <w:rsid w:val="007717DC"/>
    <w:rsid w:val="00771D6F"/>
    <w:rsid w:val="0077250C"/>
    <w:rsid w:val="00772C19"/>
    <w:rsid w:val="00773756"/>
    <w:rsid w:val="007748C1"/>
    <w:rsid w:val="007749B0"/>
    <w:rsid w:val="00774E2A"/>
    <w:rsid w:val="0077557B"/>
    <w:rsid w:val="0077660D"/>
    <w:rsid w:val="00776F07"/>
    <w:rsid w:val="00776FEC"/>
    <w:rsid w:val="007770D0"/>
    <w:rsid w:val="00780712"/>
    <w:rsid w:val="00780FC8"/>
    <w:rsid w:val="00781368"/>
    <w:rsid w:val="0078204A"/>
    <w:rsid w:val="007826BE"/>
    <w:rsid w:val="00782895"/>
    <w:rsid w:val="0078495E"/>
    <w:rsid w:val="00785A9D"/>
    <w:rsid w:val="00787AA2"/>
    <w:rsid w:val="00787F92"/>
    <w:rsid w:val="00790482"/>
    <w:rsid w:val="00790687"/>
    <w:rsid w:val="00791028"/>
    <w:rsid w:val="007910BD"/>
    <w:rsid w:val="0079303B"/>
    <w:rsid w:val="007939BA"/>
    <w:rsid w:val="00793B0E"/>
    <w:rsid w:val="00793DCE"/>
    <w:rsid w:val="00793FD4"/>
    <w:rsid w:val="00794834"/>
    <w:rsid w:val="007953F4"/>
    <w:rsid w:val="0079650E"/>
    <w:rsid w:val="007A06B1"/>
    <w:rsid w:val="007A14EC"/>
    <w:rsid w:val="007A1B18"/>
    <w:rsid w:val="007A21E4"/>
    <w:rsid w:val="007A29D0"/>
    <w:rsid w:val="007A4158"/>
    <w:rsid w:val="007A51C2"/>
    <w:rsid w:val="007A52E5"/>
    <w:rsid w:val="007A6566"/>
    <w:rsid w:val="007A7B12"/>
    <w:rsid w:val="007A7DB9"/>
    <w:rsid w:val="007B1419"/>
    <w:rsid w:val="007B169C"/>
    <w:rsid w:val="007B3320"/>
    <w:rsid w:val="007B5EDE"/>
    <w:rsid w:val="007B6FD0"/>
    <w:rsid w:val="007C0480"/>
    <w:rsid w:val="007C096E"/>
    <w:rsid w:val="007C1AF8"/>
    <w:rsid w:val="007C1D64"/>
    <w:rsid w:val="007C4E4A"/>
    <w:rsid w:val="007C5600"/>
    <w:rsid w:val="007C6DD5"/>
    <w:rsid w:val="007C74AB"/>
    <w:rsid w:val="007C7BDE"/>
    <w:rsid w:val="007D0578"/>
    <w:rsid w:val="007D0723"/>
    <w:rsid w:val="007D3FFB"/>
    <w:rsid w:val="007D4917"/>
    <w:rsid w:val="007D53C7"/>
    <w:rsid w:val="007D56E2"/>
    <w:rsid w:val="007D5BF1"/>
    <w:rsid w:val="007D5C1A"/>
    <w:rsid w:val="007D62D8"/>
    <w:rsid w:val="007D6B12"/>
    <w:rsid w:val="007D7082"/>
    <w:rsid w:val="007D7E2E"/>
    <w:rsid w:val="007D7FBE"/>
    <w:rsid w:val="007E1055"/>
    <w:rsid w:val="007E20CD"/>
    <w:rsid w:val="007E2A15"/>
    <w:rsid w:val="007E3F62"/>
    <w:rsid w:val="007E4FFE"/>
    <w:rsid w:val="007E5829"/>
    <w:rsid w:val="007E62C2"/>
    <w:rsid w:val="007E64EC"/>
    <w:rsid w:val="007E79AE"/>
    <w:rsid w:val="007E79BF"/>
    <w:rsid w:val="007F0239"/>
    <w:rsid w:val="007F0D9D"/>
    <w:rsid w:val="007F33EF"/>
    <w:rsid w:val="007F3527"/>
    <w:rsid w:val="007F3B8C"/>
    <w:rsid w:val="007F5A0C"/>
    <w:rsid w:val="007F6409"/>
    <w:rsid w:val="007F7087"/>
    <w:rsid w:val="0080000B"/>
    <w:rsid w:val="00800114"/>
    <w:rsid w:val="00800444"/>
    <w:rsid w:val="00801456"/>
    <w:rsid w:val="00801B3A"/>
    <w:rsid w:val="00802050"/>
    <w:rsid w:val="008022E6"/>
    <w:rsid w:val="0080272E"/>
    <w:rsid w:val="008029FD"/>
    <w:rsid w:val="00802DB8"/>
    <w:rsid w:val="00802FBE"/>
    <w:rsid w:val="00803A60"/>
    <w:rsid w:val="00804131"/>
    <w:rsid w:val="00805090"/>
    <w:rsid w:val="00807473"/>
    <w:rsid w:val="0081052A"/>
    <w:rsid w:val="00810D5D"/>
    <w:rsid w:val="008118A2"/>
    <w:rsid w:val="008137EA"/>
    <w:rsid w:val="0081411F"/>
    <w:rsid w:val="008143EF"/>
    <w:rsid w:val="008145D6"/>
    <w:rsid w:val="0081584E"/>
    <w:rsid w:val="00816175"/>
    <w:rsid w:val="00817736"/>
    <w:rsid w:val="00817E81"/>
    <w:rsid w:val="00820F7D"/>
    <w:rsid w:val="0082173C"/>
    <w:rsid w:val="00821E83"/>
    <w:rsid w:val="008225F8"/>
    <w:rsid w:val="0082267E"/>
    <w:rsid w:val="00822BE9"/>
    <w:rsid w:val="00823DF8"/>
    <w:rsid w:val="008241F3"/>
    <w:rsid w:val="008243DC"/>
    <w:rsid w:val="00824E6E"/>
    <w:rsid w:val="00825931"/>
    <w:rsid w:val="008276C0"/>
    <w:rsid w:val="00827E4D"/>
    <w:rsid w:val="00827EEF"/>
    <w:rsid w:val="00830DB0"/>
    <w:rsid w:val="00830F63"/>
    <w:rsid w:val="00832BF2"/>
    <w:rsid w:val="00832EE6"/>
    <w:rsid w:val="008341A6"/>
    <w:rsid w:val="00834458"/>
    <w:rsid w:val="008346AA"/>
    <w:rsid w:val="00834711"/>
    <w:rsid w:val="00835676"/>
    <w:rsid w:val="008361C6"/>
    <w:rsid w:val="0083685E"/>
    <w:rsid w:val="0083696B"/>
    <w:rsid w:val="008370A6"/>
    <w:rsid w:val="008371F3"/>
    <w:rsid w:val="008400FB"/>
    <w:rsid w:val="00840105"/>
    <w:rsid w:val="008403BE"/>
    <w:rsid w:val="008409D2"/>
    <w:rsid w:val="00840BE5"/>
    <w:rsid w:val="00840E10"/>
    <w:rsid w:val="0084189A"/>
    <w:rsid w:val="008418E8"/>
    <w:rsid w:val="0084293B"/>
    <w:rsid w:val="008429AA"/>
    <w:rsid w:val="00842CC2"/>
    <w:rsid w:val="0084366B"/>
    <w:rsid w:val="008441B1"/>
    <w:rsid w:val="00844B98"/>
    <w:rsid w:val="00844D0A"/>
    <w:rsid w:val="00845294"/>
    <w:rsid w:val="00846F2B"/>
    <w:rsid w:val="00847AAA"/>
    <w:rsid w:val="00850133"/>
    <w:rsid w:val="008503E8"/>
    <w:rsid w:val="00850DBD"/>
    <w:rsid w:val="0085210A"/>
    <w:rsid w:val="008522C2"/>
    <w:rsid w:val="00853649"/>
    <w:rsid w:val="00854D50"/>
    <w:rsid w:val="00855108"/>
    <w:rsid w:val="00857260"/>
    <w:rsid w:val="00857B64"/>
    <w:rsid w:val="008608D4"/>
    <w:rsid w:val="008613F0"/>
    <w:rsid w:val="00861491"/>
    <w:rsid w:val="00861819"/>
    <w:rsid w:val="00862335"/>
    <w:rsid w:val="008628C3"/>
    <w:rsid w:val="00862B2A"/>
    <w:rsid w:val="00863ED0"/>
    <w:rsid w:val="00864420"/>
    <w:rsid w:val="00864904"/>
    <w:rsid w:val="008662C0"/>
    <w:rsid w:val="00867A60"/>
    <w:rsid w:val="00867D98"/>
    <w:rsid w:val="00871151"/>
    <w:rsid w:val="00872066"/>
    <w:rsid w:val="00872480"/>
    <w:rsid w:val="00872D6F"/>
    <w:rsid w:val="00872FB0"/>
    <w:rsid w:val="0087342A"/>
    <w:rsid w:val="00873ADF"/>
    <w:rsid w:val="00873E30"/>
    <w:rsid w:val="008755CD"/>
    <w:rsid w:val="00875A8B"/>
    <w:rsid w:val="00876148"/>
    <w:rsid w:val="00876492"/>
    <w:rsid w:val="00877E7D"/>
    <w:rsid w:val="00880D45"/>
    <w:rsid w:val="00880D65"/>
    <w:rsid w:val="008810DE"/>
    <w:rsid w:val="008811FF"/>
    <w:rsid w:val="00885FB2"/>
    <w:rsid w:val="0088667C"/>
    <w:rsid w:val="00886A8C"/>
    <w:rsid w:val="00886C9B"/>
    <w:rsid w:val="00886DDB"/>
    <w:rsid w:val="00887160"/>
    <w:rsid w:val="00890106"/>
    <w:rsid w:val="00890DC4"/>
    <w:rsid w:val="008925EA"/>
    <w:rsid w:val="00893061"/>
    <w:rsid w:val="00893296"/>
    <w:rsid w:val="00895E73"/>
    <w:rsid w:val="00896641"/>
    <w:rsid w:val="00896699"/>
    <w:rsid w:val="00896FB7"/>
    <w:rsid w:val="008972F1"/>
    <w:rsid w:val="008A0378"/>
    <w:rsid w:val="008A0444"/>
    <w:rsid w:val="008A0BDA"/>
    <w:rsid w:val="008A136C"/>
    <w:rsid w:val="008A13C7"/>
    <w:rsid w:val="008A194C"/>
    <w:rsid w:val="008A2D73"/>
    <w:rsid w:val="008A409C"/>
    <w:rsid w:val="008A45F3"/>
    <w:rsid w:val="008A4887"/>
    <w:rsid w:val="008A52B8"/>
    <w:rsid w:val="008A5FE7"/>
    <w:rsid w:val="008A6A2E"/>
    <w:rsid w:val="008A776E"/>
    <w:rsid w:val="008B233F"/>
    <w:rsid w:val="008B2708"/>
    <w:rsid w:val="008B54B5"/>
    <w:rsid w:val="008B64FD"/>
    <w:rsid w:val="008B696E"/>
    <w:rsid w:val="008B6ABA"/>
    <w:rsid w:val="008B6C82"/>
    <w:rsid w:val="008B7268"/>
    <w:rsid w:val="008B7C0F"/>
    <w:rsid w:val="008C08C7"/>
    <w:rsid w:val="008C0E5B"/>
    <w:rsid w:val="008C1BBA"/>
    <w:rsid w:val="008C2354"/>
    <w:rsid w:val="008C25CB"/>
    <w:rsid w:val="008C3461"/>
    <w:rsid w:val="008C37FB"/>
    <w:rsid w:val="008C387F"/>
    <w:rsid w:val="008C4B7E"/>
    <w:rsid w:val="008C533A"/>
    <w:rsid w:val="008C602F"/>
    <w:rsid w:val="008C7183"/>
    <w:rsid w:val="008C7EB3"/>
    <w:rsid w:val="008D2287"/>
    <w:rsid w:val="008D3236"/>
    <w:rsid w:val="008D4B02"/>
    <w:rsid w:val="008D5074"/>
    <w:rsid w:val="008D51B6"/>
    <w:rsid w:val="008D53A8"/>
    <w:rsid w:val="008D562F"/>
    <w:rsid w:val="008D6173"/>
    <w:rsid w:val="008D6C0B"/>
    <w:rsid w:val="008D6EFB"/>
    <w:rsid w:val="008D6FDF"/>
    <w:rsid w:val="008D7B8C"/>
    <w:rsid w:val="008E0E92"/>
    <w:rsid w:val="008E1842"/>
    <w:rsid w:val="008E26ED"/>
    <w:rsid w:val="008E2A7F"/>
    <w:rsid w:val="008E38E3"/>
    <w:rsid w:val="008E4DCE"/>
    <w:rsid w:val="008E57B6"/>
    <w:rsid w:val="008E5918"/>
    <w:rsid w:val="008E6940"/>
    <w:rsid w:val="008E7CB7"/>
    <w:rsid w:val="008E7FB0"/>
    <w:rsid w:val="008F0DFE"/>
    <w:rsid w:val="008F15E2"/>
    <w:rsid w:val="008F3331"/>
    <w:rsid w:val="008F4A0E"/>
    <w:rsid w:val="008F4FF6"/>
    <w:rsid w:val="008F5E01"/>
    <w:rsid w:val="008F7180"/>
    <w:rsid w:val="008F7418"/>
    <w:rsid w:val="00900433"/>
    <w:rsid w:val="00900A51"/>
    <w:rsid w:val="009015B4"/>
    <w:rsid w:val="00901AF3"/>
    <w:rsid w:val="009032E4"/>
    <w:rsid w:val="00904651"/>
    <w:rsid w:val="00904BE4"/>
    <w:rsid w:val="0090514E"/>
    <w:rsid w:val="00905A54"/>
    <w:rsid w:val="00906B5D"/>
    <w:rsid w:val="009071BB"/>
    <w:rsid w:val="009075C5"/>
    <w:rsid w:val="0090775F"/>
    <w:rsid w:val="00907FD4"/>
    <w:rsid w:val="0091043A"/>
    <w:rsid w:val="00910485"/>
    <w:rsid w:val="009107A5"/>
    <w:rsid w:val="00910FF8"/>
    <w:rsid w:val="00911EBE"/>
    <w:rsid w:val="009121DA"/>
    <w:rsid w:val="00912B40"/>
    <w:rsid w:val="00913490"/>
    <w:rsid w:val="0091367A"/>
    <w:rsid w:val="00915180"/>
    <w:rsid w:val="00915449"/>
    <w:rsid w:val="009162C7"/>
    <w:rsid w:val="00916446"/>
    <w:rsid w:val="009164B8"/>
    <w:rsid w:val="00916814"/>
    <w:rsid w:val="00917787"/>
    <w:rsid w:val="009178A8"/>
    <w:rsid w:val="00917E60"/>
    <w:rsid w:val="0092023E"/>
    <w:rsid w:val="00920358"/>
    <w:rsid w:val="00921DA9"/>
    <w:rsid w:val="00922527"/>
    <w:rsid w:val="00922694"/>
    <w:rsid w:val="00922B9C"/>
    <w:rsid w:val="00923766"/>
    <w:rsid w:val="00924446"/>
    <w:rsid w:val="009250DE"/>
    <w:rsid w:val="009252C5"/>
    <w:rsid w:val="00925C2B"/>
    <w:rsid w:val="00926D1F"/>
    <w:rsid w:val="00930B7C"/>
    <w:rsid w:val="00930E9B"/>
    <w:rsid w:val="009315B3"/>
    <w:rsid w:val="00932006"/>
    <w:rsid w:val="009323CA"/>
    <w:rsid w:val="009328DF"/>
    <w:rsid w:val="00933392"/>
    <w:rsid w:val="00933798"/>
    <w:rsid w:val="009344B9"/>
    <w:rsid w:val="0093472E"/>
    <w:rsid w:val="009360AD"/>
    <w:rsid w:val="009361DC"/>
    <w:rsid w:val="009366F9"/>
    <w:rsid w:val="00937104"/>
    <w:rsid w:val="00937D7E"/>
    <w:rsid w:val="009402DF"/>
    <w:rsid w:val="009407F7"/>
    <w:rsid w:val="00941BA9"/>
    <w:rsid w:val="00941C41"/>
    <w:rsid w:val="00944D05"/>
    <w:rsid w:val="0094504E"/>
    <w:rsid w:val="00946D31"/>
    <w:rsid w:val="00946D3A"/>
    <w:rsid w:val="00946EFF"/>
    <w:rsid w:val="00950A3D"/>
    <w:rsid w:val="00951E1C"/>
    <w:rsid w:val="0095265E"/>
    <w:rsid w:val="00952C28"/>
    <w:rsid w:val="00956386"/>
    <w:rsid w:val="00956825"/>
    <w:rsid w:val="00956D4A"/>
    <w:rsid w:val="00957311"/>
    <w:rsid w:val="00957B4C"/>
    <w:rsid w:val="009619F8"/>
    <w:rsid w:val="00962374"/>
    <w:rsid w:val="009623BD"/>
    <w:rsid w:val="00962553"/>
    <w:rsid w:val="009636E7"/>
    <w:rsid w:val="00963792"/>
    <w:rsid w:val="009638F2"/>
    <w:rsid w:val="00965380"/>
    <w:rsid w:val="00966148"/>
    <w:rsid w:val="00967A7F"/>
    <w:rsid w:val="00970A77"/>
    <w:rsid w:val="0097141A"/>
    <w:rsid w:val="00972B18"/>
    <w:rsid w:val="009739BB"/>
    <w:rsid w:val="0097439A"/>
    <w:rsid w:val="00974D3A"/>
    <w:rsid w:val="00974E0C"/>
    <w:rsid w:val="00975E88"/>
    <w:rsid w:val="00976159"/>
    <w:rsid w:val="00976FAA"/>
    <w:rsid w:val="00977109"/>
    <w:rsid w:val="0097792B"/>
    <w:rsid w:val="009779A9"/>
    <w:rsid w:val="00977DB2"/>
    <w:rsid w:val="0098230F"/>
    <w:rsid w:val="00982AC3"/>
    <w:rsid w:val="0098418C"/>
    <w:rsid w:val="009860C2"/>
    <w:rsid w:val="00986769"/>
    <w:rsid w:val="00986A42"/>
    <w:rsid w:val="00986CA9"/>
    <w:rsid w:val="009877D0"/>
    <w:rsid w:val="00990DF7"/>
    <w:rsid w:val="00991540"/>
    <w:rsid w:val="00992A06"/>
    <w:rsid w:val="00992A0C"/>
    <w:rsid w:val="00992D50"/>
    <w:rsid w:val="009930E7"/>
    <w:rsid w:val="009932BC"/>
    <w:rsid w:val="00995601"/>
    <w:rsid w:val="00995E7A"/>
    <w:rsid w:val="009963CD"/>
    <w:rsid w:val="00997000"/>
    <w:rsid w:val="0099727C"/>
    <w:rsid w:val="009978DB"/>
    <w:rsid w:val="009A021D"/>
    <w:rsid w:val="009A10C9"/>
    <w:rsid w:val="009A203C"/>
    <w:rsid w:val="009A23CB"/>
    <w:rsid w:val="009A2B48"/>
    <w:rsid w:val="009A34F6"/>
    <w:rsid w:val="009A3E77"/>
    <w:rsid w:val="009A49B6"/>
    <w:rsid w:val="009A4BEB"/>
    <w:rsid w:val="009A4D13"/>
    <w:rsid w:val="009A723A"/>
    <w:rsid w:val="009A7807"/>
    <w:rsid w:val="009B1A3D"/>
    <w:rsid w:val="009B1F92"/>
    <w:rsid w:val="009B1FEE"/>
    <w:rsid w:val="009B3373"/>
    <w:rsid w:val="009B33CB"/>
    <w:rsid w:val="009B4D1C"/>
    <w:rsid w:val="009B5A34"/>
    <w:rsid w:val="009C0D8C"/>
    <w:rsid w:val="009C19FC"/>
    <w:rsid w:val="009C2C04"/>
    <w:rsid w:val="009C2F32"/>
    <w:rsid w:val="009C30EC"/>
    <w:rsid w:val="009C60F0"/>
    <w:rsid w:val="009D0163"/>
    <w:rsid w:val="009D2EA2"/>
    <w:rsid w:val="009D36E4"/>
    <w:rsid w:val="009D3DB6"/>
    <w:rsid w:val="009D45A3"/>
    <w:rsid w:val="009D4C55"/>
    <w:rsid w:val="009D4F6C"/>
    <w:rsid w:val="009D58AE"/>
    <w:rsid w:val="009D5B41"/>
    <w:rsid w:val="009D654D"/>
    <w:rsid w:val="009D6A71"/>
    <w:rsid w:val="009E055A"/>
    <w:rsid w:val="009E10C3"/>
    <w:rsid w:val="009E18D6"/>
    <w:rsid w:val="009E1CFA"/>
    <w:rsid w:val="009E509E"/>
    <w:rsid w:val="009E5614"/>
    <w:rsid w:val="009E78F7"/>
    <w:rsid w:val="009F052A"/>
    <w:rsid w:val="009F0877"/>
    <w:rsid w:val="009F140F"/>
    <w:rsid w:val="009F3AE3"/>
    <w:rsid w:val="009F3FFF"/>
    <w:rsid w:val="009F56A9"/>
    <w:rsid w:val="009F59EB"/>
    <w:rsid w:val="009F5DC1"/>
    <w:rsid w:val="009F5E17"/>
    <w:rsid w:val="009F5F4A"/>
    <w:rsid w:val="009F69AD"/>
    <w:rsid w:val="009F7658"/>
    <w:rsid w:val="009F7785"/>
    <w:rsid w:val="00A0031F"/>
    <w:rsid w:val="00A004D7"/>
    <w:rsid w:val="00A007FF"/>
    <w:rsid w:val="00A01570"/>
    <w:rsid w:val="00A01D68"/>
    <w:rsid w:val="00A01DDD"/>
    <w:rsid w:val="00A02415"/>
    <w:rsid w:val="00A025EF"/>
    <w:rsid w:val="00A02A26"/>
    <w:rsid w:val="00A02DAF"/>
    <w:rsid w:val="00A05EAE"/>
    <w:rsid w:val="00A06EE5"/>
    <w:rsid w:val="00A0719F"/>
    <w:rsid w:val="00A0788B"/>
    <w:rsid w:val="00A07CD1"/>
    <w:rsid w:val="00A10EB6"/>
    <w:rsid w:val="00A113B2"/>
    <w:rsid w:val="00A1184D"/>
    <w:rsid w:val="00A12CAA"/>
    <w:rsid w:val="00A12EFA"/>
    <w:rsid w:val="00A1367A"/>
    <w:rsid w:val="00A13E75"/>
    <w:rsid w:val="00A1415E"/>
    <w:rsid w:val="00A16DE5"/>
    <w:rsid w:val="00A17E00"/>
    <w:rsid w:val="00A20A4C"/>
    <w:rsid w:val="00A2107B"/>
    <w:rsid w:val="00A219C5"/>
    <w:rsid w:val="00A227E5"/>
    <w:rsid w:val="00A22D51"/>
    <w:rsid w:val="00A24329"/>
    <w:rsid w:val="00A24642"/>
    <w:rsid w:val="00A257A2"/>
    <w:rsid w:val="00A25A9C"/>
    <w:rsid w:val="00A25C75"/>
    <w:rsid w:val="00A26134"/>
    <w:rsid w:val="00A26585"/>
    <w:rsid w:val="00A2775A"/>
    <w:rsid w:val="00A2795E"/>
    <w:rsid w:val="00A309AD"/>
    <w:rsid w:val="00A31C69"/>
    <w:rsid w:val="00A3264B"/>
    <w:rsid w:val="00A33617"/>
    <w:rsid w:val="00A34135"/>
    <w:rsid w:val="00A34B0D"/>
    <w:rsid w:val="00A34FF5"/>
    <w:rsid w:val="00A359F4"/>
    <w:rsid w:val="00A3784D"/>
    <w:rsid w:val="00A37C1E"/>
    <w:rsid w:val="00A411DF"/>
    <w:rsid w:val="00A432E3"/>
    <w:rsid w:val="00A43F52"/>
    <w:rsid w:val="00A447AD"/>
    <w:rsid w:val="00A45012"/>
    <w:rsid w:val="00A45783"/>
    <w:rsid w:val="00A46A3D"/>
    <w:rsid w:val="00A5149D"/>
    <w:rsid w:val="00A51C42"/>
    <w:rsid w:val="00A523DC"/>
    <w:rsid w:val="00A526EF"/>
    <w:rsid w:val="00A529FA"/>
    <w:rsid w:val="00A52C2A"/>
    <w:rsid w:val="00A539A9"/>
    <w:rsid w:val="00A53F70"/>
    <w:rsid w:val="00A54B22"/>
    <w:rsid w:val="00A54DB3"/>
    <w:rsid w:val="00A55ECE"/>
    <w:rsid w:val="00A55F67"/>
    <w:rsid w:val="00A56545"/>
    <w:rsid w:val="00A56C43"/>
    <w:rsid w:val="00A57429"/>
    <w:rsid w:val="00A57B0D"/>
    <w:rsid w:val="00A60C34"/>
    <w:rsid w:val="00A63010"/>
    <w:rsid w:val="00A63BCD"/>
    <w:rsid w:val="00A649AA"/>
    <w:rsid w:val="00A6523B"/>
    <w:rsid w:val="00A659F4"/>
    <w:rsid w:val="00A67415"/>
    <w:rsid w:val="00A67873"/>
    <w:rsid w:val="00A6790B"/>
    <w:rsid w:val="00A67B6C"/>
    <w:rsid w:val="00A70E18"/>
    <w:rsid w:val="00A723A7"/>
    <w:rsid w:val="00A735C9"/>
    <w:rsid w:val="00A74038"/>
    <w:rsid w:val="00A74346"/>
    <w:rsid w:val="00A7496E"/>
    <w:rsid w:val="00A74AC6"/>
    <w:rsid w:val="00A761EA"/>
    <w:rsid w:val="00A76412"/>
    <w:rsid w:val="00A7745E"/>
    <w:rsid w:val="00A77564"/>
    <w:rsid w:val="00A77B9D"/>
    <w:rsid w:val="00A77E11"/>
    <w:rsid w:val="00A77F7C"/>
    <w:rsid w:val="00A80841"/>
    <w:rsid w:val="00A80BD2"/>
    <w:rsid w:val="00A80E1D"/>
    <w:rsid w:val="00A82886"/>
    <w:rsid w:val="00A83070"/>
    <w:rsid w:val="00A843CA"/>
    <w:rsid w:val="00A84971"/>
    <w:rsid w:val="00A84D89"/>
    <w:rsid w:val="00A84E6E"/>
    <w:rsid w:val="00A8583D"/>
    <w:rsid w:val="00A85E97"/>
    <w:rsid w:val="00A87E37"/>
    <w:rsid w:val="00A90C7E"/>
    <w:rsid w:val="00A91E52"/>
    <w:rsid w:val="00A92841"/>
    <w:rsid w:val="00A92AC1"/>
    <w:rsid w:val="00A9312C"/>
    <w:rsid w:val="00A935A5"/>
    <w:rsid w:val="00A93B67"/>
    <w:rsid w:val="00A93E33"/>
    <w:rsid w:val="00A95B30"/>
    <w:rsid w:val="00A9626E"/>
    <w:rsid w:val="00A96F48"/>
    <w:rsid w:val="00A975FC"/>
    <w:rsid w:val="00AA08CE"/>
    <w:rsid w:val="00AA1844"/>
    <w:rsid w:val="00AA1BE1"/>
    <w:rsid w:val="00AA2137"/>
    <w:rsid w:val="00AA2193"/>
    <w:rsid w:val="00AA3D7A"/>
    <w:rsid w:val="00AA46B8"/>
    <w:rsid w:val="00AA5778"/>
    <w:rsid w:val="00AA5A05"/>
    <w:rsid w:val="00AA64FC"/>
    <w:rsid w:val="00AA6626"/>
    <w:rsid w:val="00AA743C"/>
    <w:rsid w:val="00AA7E79"/>
    <w:rsid w:val="00AB0032"/>
    <w:rsid w:val="00AB049D"/>
    <w:rsid w:val="00AB29F6"/>
    <w:rsid w:val="00AB2D93"/>
    <w:rsid w:val="00AB2F71"/>
    <w:rsid w:val="00AB306A"/>
    <w:rsid w:val="00AB39CA"/>
    <w:rsid w:val="00AB3AAE"/>
    <w:rsid w:val="00AB4F64"/>
    <w:rsid w:val="00AB50F4"/>
    <w:rsid w:val="00AB730B"/>
    <w:rsid w:val="00AC0B09"/>
    <w:rsid w:val="00AC0B0F"/>
    <w:rsid w:val="00AC0D3E"/>
    <w:rsid w:val="00AC181B"/>
    <w:rsid w:val="00AC19E5"/>
    <w:rsid w:val="00AC2D3D"/>
    <w:rsid w:val="00AC4F60"/>
    <w:rsid w:val="00AC5408"/>
    <w:rsid w:val="00AC5C68"/>
    <w:rsid w:val="00AC63B3"/>
    <w:rsid w:val="00AC69E9"/>
    <w:rsid w:val="00AC77A4"/>
    <w:rsid w:val="00AD0204"/>
    <w:rsid w:val="00AD0C6F"/>
    <w:rsid w:val="00AD20E1"/>
    <w:rsid w:val="00AD2351"/>
    <w:rsid w:val="00AD2F29"/>
    <w:rsid w:val="00AD3510"/>
    <w:rsid w:val="00AD4440"/>
    <w:rsid w:val="00AD52D4"/>
    <w:rsid w:val="00AD5BBA"/>
    <w:rsid w:val="00AD7BAE"/>
    <w:rsid w:val="00AD7D26"/>
    <w:rsid w:val="00AE1207"/>
    <w:rsid w:val="00AE1868"/>
    <w:rsid w:val="00AE554B"/>
    <w:rsid w:val="00AE731C"/>
    <w:rsid w:val="00AE73C0"/>
    <w:rsid w:val="00AF16C1"/>
    <w:rsid w:val="00AF1C7E"/>
    <w:rsid w:val="00AF1DCB"/>
    <w:rsid w:val="00AF2A48"/>
    <w:rsid w:val="00AF4108"/>
    <w:rsid w:val="00AF4EC0"/>
    <w:rsid w:val="00AF4F54"/>
    <w:rsid w:val="00AF5849"/>
    <w:rsid w:val="00AF6136"/>
    <w:rsid w:val="00AF6D73"/>
    <w:rsid w:val="00AF7C6A"/>
    <w:rsid w:val="00AF7FCE"/>
    <w:rsid w:val="00B00CFD"/>
    <w:rsid w:val="00B02482"/>
    <w:rsid w:val="00B029BA"/>
    <w:rsid w:val="00B03827"/>
    <w:rsid w:val="00B04342"/>
    <w:rsid w:val="00B04CEE"/>
    <w:rsid w:val="00B04FB2"/>
    <w:rsid w:val="00B05BF1"/>
    <w:rsid w:val="00B07AF0"/>
    <w:rsid w:val="00B07E94"/>
    <w:rsid w:val="00B10270"/>
    <w:rsid w:val="00B1065B"/>
    <w:rsid w:val="00B11F71"/>
    <w:rsid w:val="00B1232E"/>
    <w:rsid w:val="00B13A04"/>
    <w:rsid w:val="00B14706"/>
    <w:rsid w:val="00B14A61"/>
    <w:rsid w:val="00B14E5D"/>
    <w:rsid w:val="00B15177"/>
    <w:rsid w:val="00B15613"/>
    <w:rsid w:val="00B158E4"/>
    <w:rsid w:val="00B15B4E"/>
    <w:rsid w:val="00B16210"/>
    <w:rsid w:val="00B174BD"/>
    <w:rsid w:val="00B17FA4"/>
    <w:rsid w:val="00B201BA"/>
    <w:rsid w:val="00B202F6"/>
    <w:rsid w:val="00B2032D"/>
    <w:rsid w:val="00B21CCF"/>
    <w:rsid w:val="00B21D5C"/>
    <w:rsid w:val="00B22F42"/>
    <w:rsid w:val="00B23ACA"/>
    <w:rsid w:val="00B24363"/>
    <w:rsid w:val="00B24C1F"/>
    <w:rsid w:val="00B2548B"/>
    <w:rsid w:val="00B256C7"/>
    <w:rsid w:val="00B26B14"/>
    <w:rsid w:val="00B26B98"/>
    <w:rsid w:val="00B26C36"/>
    <w:rsid w:val="00B26D41"/>
    <w:rsid w:val="00B272E9"/>
    <w:rsid w:val="00B27FE7"/>
    <w:rsid w:val="00B31106"/>
    <w:rsid w:val="00B314AA"/>
    <w:rsid w:val="00B3292F"/>
    <w:rsid w:val="00B32F81"/>
    <w:rsid w:val="00B333BD"/>
    <w:rsid w:val="00B35754"/>
    <w:rsid w:val="00B365B5"/>
    <w:rsid w:val="00B372B9"/>
    <w:rsid w:val="00B402AF"/>
    <w:rsid w:val="00B4115F"/>
    <w:rsid w:val="00B41C5A"/>
    <w:rsid w:val="00B426F4"/>
    <w:rsid w:val="00B42F4E"/>
    <w:rsid w:val="00B4345E"/>
    <w:rsid w:val="00B43469"/>
    <w:rsid w:val="00B43870"/>
    <w:rsid w:val="00B4476E"/>
    <w:rsid w:val="00B448E9"/>
    <w:rsid w:val="00B44B6E"/>
    <w:rsid w:val="00B45400"/>
    <w:rsid w:val="00B461C7"/>
    <w:rsid w:val="00B463E3"/>
    <w:rsid w:val="00B46BDB"/>
    <w:rsid w:val="00B46E17"/>
    <w:rsid w:val="00B4753A"/>
    <w:rsid w:val="00B5130F"/>
    <w:rsid w:val="00B52EB8"/>
    <w:rsid w:val="00B52F2C"/>
    <w:rsid w:val="00B532BD"/>
    <w:rsid w:val="00B535F9"/>
    <w:rsid w:val="00B53727"/>
    <w:rsid w:val="00B53A69"/>
    <w:rsid w:val="00B53E85"/>
    <w:rsid w:val="00B546F3"/>
    <w:rsid w:val="00B5482B"/>
    <w:rsid w:val="00B55097"/>
    <w:rsid w:val="00B552BB"/>
    <w:rsid w:val="00B5643F"/>
    <w:rsid w:val="00B570E6"/>
    <w:rsid w:val="00B57576"/>
    <w:rsid w:val="00B5762E"/>
    <w:rsid w:val="00B5793F"/>
    <w:rsid w:val="00B60099"/>
    <w:rsid w:val="00B60AD3"/>
    <w:rsid w:val="00B60FC2"/>
    <w:rsid w:val="00B6242A"/>
    <w:rsid w:val="00B655B8"/>
    <w:rsid w:val="00B664A9"/>
    <w:rsid w:val="00B67029"/>
    <w:rsid w:val="00B67C8D"/>
    <w:rsid w:val="00B7007B"/>
    <w:rsid w:val="00B70AEC"/>
    <w:rsid w:val="00B71629"/>
    <w:rsid w:val="00B72C76"/>
    <w:rsid w:val="00B743A9"/>
    <w:rsid w:val="00B74AB9"/>
    <w:rsid w:val="00B7570F"/>
    <w:rsid w:val="00B8066B"/>
    <w:rsid w:val="00B80C40"/>
    <w:rsid w:val="00B81FA8"/>
    <w:rsid w:val="00B828CD"/>
    <w:rsid w:val="00B82F64"/>
    <w:rsid w:val="00B83107"/>
    <w:rsid w:val="00B83728"/>
    <w:rsid w:val="00B851E7"/>
    <w:rsid w:val="00B85DCC"/>
    <w:rsid w:val="00B862F8"/>
    <w:rsid w:val="00B873BC"/>
    <w:rsid w:val="00B87449"/>
    <w:rsid w:val="00B8744F"/>
    <w:rsid w:val="00B90059"/>
    <w:rsid w:val="00B90A76"/>
    <w:rsid w:val="00B921B6"/>
    <w:rsid w:val="00B92A03"/>
    <w:rsid w:val="00B94C13"/>
    <w:rsid w:val="00B9544C"/>
    <w:rsid w:val="00B956B7"/>
    <w:rsid w:val="00B959CC"/>
    <w:rsid w:val="00B96FC9"/>
    <w:rsid w:val="00BA0A06"/>
    <w:rsid w:val="00BA18B4"/>
    <w:rsid w:val="00BA1C86"/>
    <w:rsid w:val="00BA3FA4"/>
    <w:rsid w:val="00BA411B"/>
    <w:rsid w:val="00BA445D"/>
    <w:rsid w:val="00BA4759"/>
    <w:rsid w:val="00BA5604"/>
    <w:rsid w:val="00BA580E"/>
    <w:rsid w:val="00BA5EFF"/>
    <w:rsid w:val="00BA6753"/>
    <w:rsid w:val="00BA7223"/>
    <w:rsid w:val="00BA7709"/>
    <w:rsid w:val="00BA795E"/>
    <w:rsid w:val="00BA7C6E"/>
    <w:rsid w:val="00BB06F7"/>
    <w:rsid w:val="00BB1ACA"/>
    <w:rsid w:val="00BB2144"/>
    <w:rsid w:val="00BB66ED"/>
    <w:rsid w:val="00BB6721"/>
    <w:rsid w:val="00BB75B5"/>
    <w:rsid w:val="00BC190F"/>
    <w:rsid w:val="00BC19A2"/>
    <w:rsid w:val="00BC25D0"/>
    <w:rsid w:val="00BC266B"/>
    <w:rsid w:val="00BC2D5E"/>
    <w:rsid w:val="00BC310E"/>
    <w:rsid w:val="00BC33D2"/>
    <w:rsid w:val="00BC35AF"/>
    <w:rsid w:val="00BC3A6F"/>
    <w:rsid w:val="00BC4191"/>
    <w:rsid w:val="00BC4D79"/>
    <w:rsid w:val="00BC4FBF"/>
    <w:rsid w:val="00BC5168"/>
    <w:rsid w:val="00BC54B3"/>
    <w:rsid w:val="00BC5A6B"/>
    <w:rsid w:val="00BC5BA9"/>
    <w:rsid w:val="00BC61D6"/>
    <w:rsid w:val="00BC659E"/>
    <w:rsid w:val="00BC7C9C"/>
    <w:rsid w:val="00BC7F16"/>
    <w:rsid w:val="00BD1102"/>
    <w:rsid w:val="00BD17F8"/>
    <w:rsid w:val="00BD1F13"/>
    <w:rsid w:val="00BD23EA"/>
    <w:rsid w:val="00BD29FB"/>
    <w:rsid w:val="00BD325A"/>
    <w:rsid w:val="00BD5129"/>
    <w:rsid w:val="00BD57A8"/>
    <w:rsid w:val="00BD66C6"/>
    <w:rsid w:val="00BD68E3"/>
    <w:rsid w:val="00BD7977"/>
    <w:rsid w:val="00BD7A67"/>
    <w:rsid w:val="00BD7E9C"/>
    <w:rsid w:val="00BE0A5A"/>
    <w:rsid w:val="00BE0E7C"/>
    <w:rsid w:val="00BE1423"/>
    <w:rsid w:val="00BE2E35"/>
    <w:rsid w:val="00BE48D2"/>
    <w:rsid w:val="00BE55F1"/>
    <w:rsid w:val="00BE59ED"/>
    <w:rsid w:val="00BE5B5A"/>
    <w:rsid w:val="00BE61F9"/>
    <w:rsid w:val="00BE621C"/>
    <w:rsid w:val="00BE6A9D"/>
    <w:rsid w:val="00BE7173"/>
    <w:rsid w:val="00BE72B7"/>
    <w:rsid w:val="00BE7FCE"/>
    <w:rsid w:val="00BF0142"/>
    <w:rsid w:val="00BF0FAA"/>
    <w:rsid w:val="00BF12C9"/>
    <w:rsid w:val="00BF2002"/>
    <w:rsid w:val="00BF2CC0"/>
    <w:rsid w:val="00BF382B"/>
    <w:rsid w:val="00BF597A"/>
    <w:rsid w:val="00BF6139"/>
    <w:rsid w:val="00BF6975"/>
    <w:rsid w:val="00BF6D2F"/>
    <w:rsid w:val="00BF708C"/>
    <w:rsid w:val="00C0017E"/>
    <w:rsid w:val="00C00CFA"/>
    <w:rsid w:val="00C00D84"/>
    <w:rsid w:val="00C03AC3"/>
    <w:rsid w:val="00C03B98"/>
    <w:rsid w:val="00C03F07"/>
    <w:rsid w:val="00C101DE"/>
    <w:rsid w:val="00C1043E"/>
    <w:rsid w:val="00C110A1"/>
    <w:rsid w:val="00C111D9"/>
    <w:rsid w:val="00C1130E"/>
    <w:rsid w:val="00C11C7B"/>
    <w:rsid w:val="00C11EE3"/>
    <w:rsid w:val="00C1308C"/>
    <w:rsid w:val="00C13534"/>
    <w:rsid w:val="00C13A89"/>
    <w:rsid w:val="00C13C38"/>
    <w:rsid w:val="00C14F7D"/>
    <w:rsid w:val="00C1568C"/>
    <w:rsid w:val="00C15ADE"/>
    <w:rsid w:val="00C16911"/>
    <w:rsid w:val="00C17593"/>
    <w:rsid w:val="00C17FD7"/>
    <w:rsid w:val="00C200C7"/>
    <w:rsid w:val="00C21157"/>
    <w:rsid w:val="00C21294"/>
    <w:rsid w:val="00C21A02"/>
    <w:rsid w:val="00C221C1"/>
    <w:rsid w:val="00C22293"/>
    <w:rsid w:val="00C22A99"/>
    <w:rsid w:val="00C22AED"/>
    <w:rsid w:val="00C22C7F"/>
    <w:rsid w:val="00C2370A"/>
    <w:rsid w:val="00C23924"/>
    <w:rsid w:val="00C23E54"/>
    <w:rsid w:val="00C2478A"/>
    <w:rsid w:val="00C256A1"/>
    <w:rsid w:val="00C25D8A"/>
    <w:rsid w:val="00C25DF9"/>
    <w:rsid w:val="00C2643F"/>
    <w:rsid w:val="00C269C1"/>
    <w:rsid w:val="00C27A31"/>
    <w:rsid w:val="00C27C8F"/>
    <w:rsid w:val="00C30172"/>
    <w:rsid w:val="00C326FF"/>
    <w:rsid w:val="00C345E3"/>
    <w:rsid w:val="00C350EC"/>
    <w:rsid w:val="00C355F7"/>
    <w:rsid w:val="00C35838"/>
    <w:rsid w:val="00C36E4B"/>
    <w:rsid w:val="00C36EB7"/>
    <w:rsid w:val="00C406EA"/>
    <w:rsid w:val="00C408D1"/>
    <w:rsid w:val="00C40953"/>
    <w:rsid w:val="00C40D70"/>
    <w:rsid w:val="00C42056"/>
    <w:rsid w:val="00C42135"/>
    <w:rsid w:val="00C42B6E"/>
    <w:rsid w:val="00C437A6"/>
    <w:rsid w:val="00C43D4C"/>
    <w:rsid w:val="00C446B7"/>
    <w:rsid w:val="00C44DF8"/>
    <w:rsid w:val="00C450C8"/>
    <w:rsid w:val="00C50064"/>
    <w:rsid w:val="00C50CF4"/>
    <w:rsid w:val="00C5133C"/>
    <w:rsid w:val="00C51A9E"/>
    <w:rsid w:val="00C5278F"/>
    <w:rsid w:val="00C52C26"/>
    <w:rsid w:val="00C53146"/>
    <w:rsid w:val="00C53C82"/>
    <w:rsid w:val="00C54D6B"/>
    <w:rsid w:val="00C55E69"/>
    <w:rsid w:val="00C56B8D"/>
    <w:rsid w:val="00C56EC2"/>
    <w:rsid w:val="00C60B85"/>
    <w:rsid w:val="00C60C8E"/>
    <w:rsid w:val="00C6179B"/>
    <w:rsid w:val="00C619DB"/>
    <w:rsid w:val="00C61C7C"/>
    <w:rsid w:val="00C624F6"/>
    <w:rsid w:val="00C6280C"/>
    <w:rsid w:val="00C628A3"/>
    <w:rsid w:val="00C6358D"/>
    <w:rsid w:val="00C6360B"/>
    <w:rsid w:val="00C6396A"/>
    <w:rsid w:val="00C6652B"/>
    <w:rsid w:val="00C6728C"/>
    <w:rsid w:val="00C70C49"/>
    <w:rsid w:val="00C716F1"/>
    <w:rsid w:val="00C71D0A"/>
    <w:rsid w:val="00C71FA6"/>
    <w:rsid w:val="00C73556"/>
    <w:rsid w:val="00C737B6"/>
    <w:rsid w:val="00C75523"/>
    <w:rsid w:val="00C75824"/>
    <w:rsid w:val="00C758A1"/>
    <w:rsid w:val="00C758AA"/>
    <w:rsid w:val="00C76463"/>
    <w:rsid w:val="00C76750"/>
    <w:rsid w:val="00C76AF2"/>
    <w:rsid w:val="00C81917"/>
    <w:rsid w:val="00C82626"/>
    <w:rsid w:val="00C8346D"/>
    <w:rsid w:val="00C83B1E"/>
    <w:rsid w:val="00C84BA8"/>
    <w:rsid w:val="00C853C5"/>
    <w:rsid w:val="00C856EB"/>
    <w:rsid w:val="00C866BB"/>
    <w:rsid w:val="00C874EA"/>
    <w:rsid w:val="00C90F3F"/>
    <w:rsid w:val="00C91842"/>
    <w:rsid w:val="00C92EE6"/>
    <w:rsid w:val="00C93C3C"/>
    <w:rsid w:val="00C951D4"/>
    <w:rsid w:val="00C963E4"/>
    <w:rsid w:val="00C97504"/>
    <w:rsid w:val="00C978EE"/>
    <w:rsid w:val="00CA036B"/>
    <w:rsid w:val="00CA0925"/>
    <w:rsid w:val="00CA149E"/>
    <w:rsid w:val="00CA16ED"/>
    <w:rsid w:val="00CA4A8D"/>
    <w:rsid w:val="00CA50A3"/>
    <w:rsid w:val="00CA50B4"/>
    <w:rsid w:val="00CA55D2"/>
    <w:rsid w:val="00CA5E6B"/>
    <w:rsid w:val="00CA725C"/>
    <w:rsid w:val="00CA759B"/>
    <w:rsid w:val="00CB0D84"/>
    <w:rsid w:val="00CB1440"/>
    <w:rsid w:val="00CB1686"/>
    <w:rsid w:val="00CB2C0C"/>
    <w:rsid w:val="00CB2F74"/>
    <w:rsid w:val="00CB42FE"/>
    <w:rsid w:val="00CB4762"/>
    <w:rsid w:val="00CB5B1A"/>
    <w:rsid w:val="00CB5C73"/>
    <w:rsid w:val="00CB69C5"/>
    <w:rsid w:val="00CC027B"/>
    <w:rsid w:val="00CC072E"/>
    <w:rsid w:val="00CC0A87"/>
    <w:rsid w:val="00CC1164"/>
    <w:rsid w:val="00CC2203"/>
    <w:rsid w:val="00CC2234"/>
    <w:rsid w:val="00CC2808"/>
    <w:rsid w:val="00CC3CB9"/>
    <w:rsid w:val="00CC3DE7"/>
    <w:rsid w:val="00CC534C"/>
    <w:rsid w:val="00CC54E4"/>
    <w:rsid w:val="00CC5C38"/>
    <w:rsid w:val="00CC6003"/>
    <w:rsid w:val="00CC638E"/>
    <w:rsid w:val="00CC6EBA"/>
    <w:rsid w:val="00CC6FDB"/>
    <w:rsid w:val="00CC7D83"/>
    <w:rsid w:val="00CD00CF"/>
    <w:rsid w:val="00CD0EB5"/>
    <w:rsid w:val="00CD1213"/>
    <w:rsid w:val="00CD2076"/>
    <w:rsid w:val="00CD249E"/>
    <w:rsid w:val="00CD2872"/>
    <w:rsid w:val="00CD29BF"/>
    <w:rsid w:val="00CD3671"/>
    <w:rsid w:val="00CD3F18"/>
    <w:rsid w:val="00CD45CD"/>
    <w:rsid w:val="00CD5D8E"/>
    <w:rsid w:val="00CD66AB"/>
    <w:rsid w:val="00CD68C6"/>
    <w:rsid w:val="00CD7B46"/>
    <w:rsid w:val="00CE02C4"/>
    <w:rsid w:val="00CE05DE"/>
    <w:rsid w:val="00CE05F0"/>
    <w:rsid w:val="00CE0695"/>
    <w:rsid w:val="00CE0D7E"/>
    <w:rsid w:val="00CE129C"/>
    <w:rsid w:val="00CE1CFC"/>
    <w:rsid w:val="00CE2388"/>
    <w:rsid w:val="00CE25E2"/>
    <w:rsid w:val="00CE49E4"/>
    <w:rsid w:val="00CE4B0F"/>
    <w:rsid w:val="00CE539B"/>
    <w:rsid w:val="00CE53DA"/>
    <w:rsid w:val="00CE66EE"/>
    <w:rsid w:val="00CE6F13"/>
    <w:rsid w:val="00CE73B7"/>
    <w:rsid w:val="00CF170B"/>
    <w:rsid w:val="00CF2571"/>
    <w:rsid w:val="00CF2DD0"/>
    <w:rsid w:val="00CF3C57"/>
    <w:rsid w:val="00CF4D09"/>
    <w:rsid w:val="00CF5A6C"/>
    <w:rsid w:val="00CF658B"/>
    <w:rsid w:val="00CF6787"/>
    <w:rsid w:val="00CF6D13"/>
    <w:rsid w:val="00CF722C"/>
    <w:rsid w:val="00CF7BAC"/>
    <w:rsid w:val="00D00041"/>
    <w:rsid w:val="00D00611"/>
    <w:rsid w:val="00D01001"/>
    <w:rsid w:val="00D02160"/>
    <w:rsid w:val="00D03319"/>
    <w:rsid w:val="00D03D36"/>
    <w:rsid w:val="00D04166"/>
    <w:rsid w:val="00D04557"/>
    <w:rsid w:val="00D04B7C"/>
    <w:rsid w:val="00D04C04"/>
    <w:rsid w:val="00D0575F"/>
    <w:rsid w:val="00D05BF2"/>
    <w:rsid w:val="00D07445"/>
    <w:rsid w:val="00D075ED"/>
    <w:rsid w:val="00D07665"/>
    <w:rsid w:val="00D07892"/>
    <w:rsid w:val="00D11299"/>
    <w:rsid w:val="00D11748"/>
    <w:rsid w:val="00D11B58"/>
    <w:rsid w:val="00D129AF"/>
    <w:rsid w:val="00D12E47"/>
    <w:rsid w:val="00D132B8"/>
    <w:rsid w:val="00D16406"/>
    <w:rsid w:val="00D16BC1"/>
    <w:rsid w:val="00D16EC9"/>
    <w:rsid w:val="00D17225"/>
    <w:rsid w:val="00D1780B"/>
    <w:rsid w:val="00D2036D"/>
    <w:rsid w:val="00D212EA"/>
    <w:rsid w:val="00D235FF"/>
    <w:rsid w:val="00D23F3B"/>
    <w:rsid w:val="00D24671"/>
    <w:rsid w:val="00D25696"/>
    <w:rsid w:val="00D25852"/>
    <w:rsid w:val="00D25D80"/>
    <w:rsid w:val="00D26E81"/>
    <w:rsid w:val="00D304FD"/>
    <w:rsid w:val="00D305A1"/>
    <w:rsid w:val="00D30A89"/>
    <w:rsid w:val="00D31215"/>
    <w:rsid w:val="00D32497"/>
    <w:rsid w:val="00D32B60"/>
    <w:rsid w:val="00D330DD"/>
    <w:rsid w:val="00D33802"/>
    <w:rsid w:val="00D33BE9"/>
    <w:rsid w:val="00D35CBE"/>
    <w:rsid w:val="00D36A99"/>
    <w:rsid w:val="00D37450"/>
    <w:rsid w:val="00D37FCE"/>
    <w:rsid w:val="00D41112"/>
    <w:rsid w:val="00D4112B"/>
    <w:rsid w:val="00D41C85"/>
    <w:rsid w:val="00D4202B"/>
    <w:rsid w:val="00D42BF6"/>
    <w:rsid w:val="00D4381E"/>
    <w:rsid w:val="00D44592"/>
    <w:rsid w:val="00D45092"/>
    <w:rsid w:val="00D45145"/>
    <w:rsid w:val="00D4557F"/>
    <w:rsid w:val="00D455CF"/>
    <w:rsid w:val="00D459B6"/>
    <w:rsid w:val="00D45CC9"/>
    <w:rsid w:val="00D5032F"/>
    <w:rsid w:val="00D504B5"/>
    <w:rsid w:val="00D5099E"/>
    <w:rsid w:val="00D519BF"/>
    <w:rsid w:val="00D51F5D"/>
    <w:rsid w:val="00D5200E"/>
    <w:rsid w:val="00D52D59"/>
    <w:rsid w:val="00D531ED"/>
    <w:rsid w:val="00D53200"/>
    <w:rsid w:val="00D53A0A"/>
    <w:rsid w:val="00D54512"/>
    <w:rsid w:val="00D546CA"/>
    <w:rsid w:val="00D55412"/>
    <w:rsid w:val="00D55B22"/>
    <w:rsid w:val="00D56444"/>
    <w:rsid w:val="00D56D13"/>
    <w:rsid w:val="00D57565"/>
    <w:rsid w:val="00D62108"/>
    <w:rsid w:val="00D6444D"/>
    <w:rsid w:val="00D6486C"/>
    <w:rsid w:val="00D64B0D"/>
    <w:rsid w:val="00D65A24"/>
    <w:rsid w:val="00D667C3"/>
    <w:rsid w:val="00D66FBF"/>
    <w:rsid w:val="00D675E9"/>
    <w:rsid w:val="00D7087F"/>
    <w:rsid w:val="00D7272F"/>
    <w:rsid w:val="00D72963"/>
    <w:rsid w:val="00D73F17"/>
    <w:rsid w:val="00D757B3"/>
    <w:rsid w:val="00D7590B"/>
    <w:rsid w:val="00D76421"/>
    <w:rsid w:val="00D76FA4"/>
    <w:rsid w:val="00D77571"/>
    <w:rsid w:val="00D80934"/>
    <w:rsid w:val="00D80EDE"/>
    <w:rsid w:val="00D82755"/>
    <w:rsid w:val="00D83181"/>
    <w:rsid w:val="00D835BB"/>
    <w:rsid w:val="00D83B52"/>
    <w:rsid w:val="00D841D4"/>
    <w:rsid w:val="00D844F6"/>
    <w:rsid w:val="00D845C9"/>
    <w:rsid w:val="00D85B2B"/>
    <w:rsid w:val="00D86DC3"/>
    <w:rsid w:val="00D90D3E"/>
    <w:rsid w:val="00D914A2"/>
    <w:rsid w:val="00D918B6"/>
    <w:rsid w:val="00D92260"/>
    <w:rsid w:val="00D92543"/>
    <w:rsid w:val="00D9331A"/>
    <w:rsid w:val="00D94699"/>
    <w:rsid w:val="00D94972"/>
    <w:rsid w:val="00D9599E"/>
    <w:rsid w:val="00D966DE"/>
    <w:rsid w:val="00D96CBD"/>
    <w:rsid w:val="00D96FCB"/>
    <w:rsid w:val="00D96FF7"/>
    <w:rsid w:val="00DA0C21"/>
    <w:rsid w:val="00DA205E"/>
    <w:rsid w:val="00DA21F1"/>
    <w:rsid w:val="00DA4EAE"/>
    <w:rsid w:val="00DA5AE5"/>
    <w:rsid w:val="00DA6377"/>
    <w:rsid w:val="00DA723E"/>
    <w:rsid w:val="00DB09A2"/>
    <w:rsid w:val="00DB0E1E"/>
    <w:rsid w:val="00DB1800"/>
    <w:rsid w:val="00DB18AF"/>
    <w:rsid w:val="00DB1BDC"/>
    <w:rsid w:val="00DB26D7"/>
    <w:rsid w:val="00DB46AA"/>
    <w:rsid w:val="00DB4D96"/>
    <w:rsid w:val="00DB526B"/>
    <w:rsid w:val="00DB6839"/>
    <w:rsid w:val="00DB6AA6"/>
    <w:rsid w:val="00DB6EB5"/>
    <w:rsid w:val="00DB721D"/>
    <w:rsid w:val="00DB721E"/>
    <w:rsid w:val="00DB7625"/>
    <w:rsid w:val="00DB771C"/>
    <w:rsid w:val="00DC00DC"/>
    <w:rsid w:val="00DC0B74"/>
    <w:rsid w:val="00DC0BBE"/>
    <w:rsid w:val="00DC237D"/>
    <w:rsid w:val="00DC2607"/>
    <w:rsid w:val="00DC2D47"/>
    <w:rsid w:val="00DC3BCA"/>
    <w:rsid w:val="00DC3DA1"/>
    <w:rsid w:val="00DC4523"/>
    <w:rsid w:val="00DC4E4B"/>
    <w:rsid w:val="00DC57B4"/>
    <w:rsid w:val="00DC5AB3"/>
    <w:rsid w:val="00DC610F"/>
    <w:rsid w:val="00DC6437"/>
    <w:rsid w:val="00DC6A8F"/>
    <w:rsid w:val="00DC71D9"/>
    <w:rsid w:val="00DC72B4"/>
    <w:rsid w:val="00DD0623"/>
    <w:rsid w:val="00DD09CA"/>
    <w:rsid w:val="00DD130A"/>
    <w:rsid w:val="00DD197C"/>
    <w:rsid w:val="00DD2A79"/>
    <w:rsid w:val="00DD2E28"/>
    <w:rsid w:val="00DD7285"/>
    <w:rsid w:val="00DE015E"/>
    <w:rsid w:val="00DE0985"/>
    <w:rsid w:val="00DE0CE5"/>
    <w:rsid w:val="00DE103A"/>
    <w:rsid w:val="00DE2A4F"/>
    <w:rsid w:val="00DE355F"/>
    <w:rsid w:val="00DE3EB4"/>
    <w:rsid w:val="00DE40A5"/>
    <w:rsid w:val="00DE6D71"/>
    <w:rsid w:val="00DE6E4B"/>
    <w:rsid w:val="00DE75FD"/>
    <w:rsid w:val="00DE7687"/>
    <w:rsid w:val="00DE7832"/>
    <w:rsid w:val="00DE7E3C"/>
    <w:rsid w:val="00DF047C"/>
    <w:rsid w:val="00DF09B3"/>
    <w:rsid w:val="00DF10D0"/>
    <w:rsid w:val="00DF2F6C"/>
    <w:rsid w:val="00DF37F7"/>
    <w:rsid w:val="00DF3B7E"/>
    <w:rsid w:val="00DF50E8"/>
    <w:rsid w:val="00DF5471"/>
    <w:rsid w:val="00DF5967"/>
    <w:rsid w:val="00DF794E"/>
    <w:rsid w:val="00E00F81"/>
    <w:rsid w:val="00E0105B"/>
    <w:rsid w:val="00E0220C"/>
    <w:rsid w:val="00E03441"/>
    <w:rsid w:val="00E035CE"/>
    <w:rsid w:val="00E04702"/>
    <w:rsid w:val="00E06297"/>
    <w:rsid w:val="00E0643F"/>
    <w:rsid w:val="00E078FF"/>
    <w:rsid w:val="00E07963"/>
    <w:rsid w:val="00E1044A"/>
    <w:rsid w:val="00E109E1"/>
    <w:rsid w:val="00E11049"/>
    <w:rsid w:val="00E116E2"/>
    <w:rsid w:val="00E11DA8"/>
    <w:rsid w:val="00E126F1"/>
    <w:rsid w:val="00E14D0D"/>
    <w:rsid w:val="00E14FE1"/>
    <w:rsid w:val="00E160AC"/>
    <w:rsid w:val="00E174A5"/>
    <w:rsid w:val="00E178FD"/>
    <w:rsid w:val="00E20AF0"/>
    <w:rsid w:val="00E21283"/>
    <w:rsid w:val="00E22CDB"/>
    <w:rsid w:val="00E2308E"/>
    <w:rsid w:val="00E231A9"/>
    <w:rsid w:val="00E23263"/>
    <w:rsid w:val="00E24EC4"/>
    <w:rsid w:val="00E24EE8"/>
    <w:rsid w:val="00E30D6F"/>
    <w:rsid w:val="00E31454"/>
    <w:rsid w:val="00E317A7"/>
    <w:rsid w:val="00E3199E"/>
    <w:rsid w:val="00E324CD"/>
    <w:rsid w:val="00E33A0E"/>
    <w:rsid w:val="00E348F0"/>
    <w:rsid w:val="00E34A43"/>
    <w:rsid w:val="00E353ED"/>
    <w:rsid w:val="00E36B3E"/>
    <w:rsid w:val="00E3781B"/>
    <w:rsid w:val="00E37F52"/>
    <w:rsid w:val="00E407EB"/>
    <w:rsid w:val="00E40808"/>
    <w:rsid w:val="00E41736"/>
    <w:rsid w:val="00E423DC"/>
    <w:rsid w:val="00E435DE"/>
    <w:rsid w:val="00E43B47"/>
    <w:rsid w:val="00E43C6B"/>
    <w:rsid w:val="00E4740D"/>
    <w:rsid w:val="00E51155"/>
    <w:rsid w:val="00E51512"/>
    <w:rsid w:val="00E53246"/>
    <w:rsid w:val="00E5389A"/>
    <w:rsid w:val="00E538CD"/>
    <w:rsid w:val="00E549CA"/>
    <w:rsid w:val="00E54C88"/>
    <w:rsid w:val="00E55336"/>
    <w:rsid w:val="00E5579E"/>
    <w:rsid w:val="00E5733C"/>
    <w:rsid w:val="00E57AF0"/>
    <w:rsid w:val="00E60340"/>
    <w:rsid w:val="00E604EB"/>
    <w:rsid w:val="00E611D3"/>
    <w:rsid w:val="00E61B61"/>
    <w:rsid w:val="00E61DF8"/>
    <w:rsid w:val="00E61E12"/>
    <w:rsid w:val="00E627DD"/>
    <w:rsid w:val="00E62F54"/>
    <w:rsid w:val="00E6389A"/>
    <w:rsid w:val="00E65406"/>
    <w:rsid w:val="00E663BB"/>
    <w:rsid w:val="00E704C8"/>
    <w:rsid w:val="00E7209D"/>
    <w:rsid w:val="00E725BE"/>
    <w:rsid w:val="00E7260F"/>
    <w:rsid w:val="00E72EE4"/>
    <w:rsid w:val="00E73AA1"/>
    <w:rsid w:val="00E73F2F"/>
    <w:rsid w:val="00E743BA"/>
    <w:rsid w:val="00E75CBB"/>
    <w:rsid w:val="00E7722E"/>
    <w:rsid w:val="00E804D3"/>
    <w:rsid w:val="00E80DA5"/>
    <w:rsid w:val="00E8124E"/>
    <w:rsid w:val="00E814DC"/>
    <w:rsid w:val="00E815EE"/>
    <w:rsid w:val="00E829DE"/>
    <w:rsid w:val="00E82ECF"/>
    <w:rsid w:val="00E8404A"/>
    <w:rsid w:val="00E84D62"/>
    <w:rsid w:val="00E85086"/>
    <w:rsid w:val="00E853F6"/>
    <w:rsid w:val="00E8570D"/>
    <w:rsid w:val="00E85B55"/>
    <w:rsid w:val="00E85C9E"/>
    <w:rsid w:val="00E86904"/>
    <w:rsid w:val="00E87095"/>
    <w:rsid w:val="00E8755C"/>
    <w:rsid w:val="00E8767F"/>
    <w:rsid w:val="00E87867"/>
    <w:rsid w:val="00E90C98"/>
    <w:rsid w:val="00E91D28"/>
    <w:rsid w:val="00E93817"/>
    <w:rsid w:val="00E9442B"/>
    <w:rsid w:val="00E94DB9"/>
    <w:rsid w:val="00E9539B"/>
    <w:rsid w:val="00E958C8"/>
    <w:rsid w:val="00E958D2"/>
    <w:rsid w:val="00E95DCB"/>
    <w:rsid w:val="00E9622D"/>
    <w:rsid w:val="00E96580"/>
    <w:rsid w:val="00E96E96"/>
    <w:rsid w:val="00E97057"/>
    <w:rsid w:val="00E97803"/>
    <w:rsid w:val="00EA08AA"/>
    <w:rsid w:val="00EA15A3"/>
    <w:rsid w:val="00EA1C84"/>
    <w:rsid w:val="00EA1D84"/>
    <w:rsid w:val="00EA1F63"/>
    <w:rsid w:val="00EA1FB7"/>
    <w:rsid w:val="00EA2738"/>
    <w:rsid w:val="00EA27B3"/>
    <w:rsid w:val="00EA3E62"/>
    <w:rsid w:val="00EA4866"/>
    <w:rsid w:val="00EA5339"/>
    <w:rsid w:val="00EA544F"/>
    <w:rsid w:val="00EA5F51"/>
    <w:rsid w:val="00EA6824"/>
    <w:rsid w:val="00EA690C"/>
    <w:rsid w:val="00EA6921"/>
    <w:rsid w:val="00EA6DBC"/>
    <w:rsid w:val="00EA7844"/>
    <w:rsid w:val="00EB0FC2"/>
    <w:rsid w:val="00EB10AD"/>
    <w:rsid w:val="00EB21C5"/>
    <w:rsid w:val="00EB31DD"/>
    <w:rsid w:val="00EB5430"/>
    <w:rsid w:val="00EB5BB8"/>
    <w:rsid w:val="00EB5D8D"/>
    <w:rsid w:val="00EB660C"/>
    <w:rsid w:val="00EB6E2A"/>
    <w:rsid w:val="00EC1C29"/>
    <w:rsid w:val="00EC1D6E"/>
    <w:rsid w:val="00EC247D"/>
    <w:rsid w:val="00EC38B9"/>
    <w:rsid w:val="00EC4718"/>
    <w:rsid w:val="00EC4F8F"/>
    <w:rsid w:val="00EC53BF"/>
    <w:rsid w:val="00EC7633"/>
    <w:rsid w:val="00EC7B0F"/>
    <w:rsid w:val="00ED01C4"/>
    <w:rsid w:val="00ED0275"/>
    <w:rsid w:val="00ED1B47"/>
    <w:rsid w:val="00ED1F4E"/>
    <w:rsid w:val="00ED262B"/>
    <w:rsid w:val="00ED2CC1"/>
    <w:rsid w:val="00ED4643"/>
    <w:rsid w:val="00ED4AC9"/>
    <w:rsid w:val="00ED6AD1"/>
    <w:rsid w:val="00ED6B5E"/>
    <w:rsid w:val="00EE0C7A"/>
    <w:rsid w:val="00EE1992"/>
    <w:rsid w:val="00EE3159"/>
    <w:rsid w:val="00EE4B1C"/>
    <w:rsid w:val="00EE4CF3"/>
    <w:rsid w:val="00EE5A23"/>
    <w:rsid w:val="00EE71E2"/>
    <w:rsid w:val="00EE7E39"/>
    <w:rsid w:val="00EF047A"/>
    <w:rsid w:val="00EF05ED"/>
    <w:rsid w:val="00EF11E2"/>
    <w:rsid w:val="00EF29DA"/>
    <w:rsid w:val="00EF327E"/>
    <w:rsid w:val="00EF4426"/>
    <w:rsid w:val="00EF48BD"/>
    <w:rsid w:val="00EF4BF1"/>
    <w:rsid w:val="00EF6B09"/>
    <w:rsid w:val="00F00C2F"/>
    <w:rsid w:val="00F022E1"/>
    <w:rsid w:val="00F0238E"/>
    <w:rsid w:val="00F02807"/>
    <w:rsid w:val="00F02F2D"/>
    <w:rsid w:val="00F03556"/>
    <w:rsid w:val="00F0382D"/>
    <w:rsid w:val="00F03A72"/>
    <w:rsid w:val="00F0443F"/>
    <w:rsid w:val="00F05134"/>
    <w:rsid w:val="00F06404"/>
    <w:rsid w:val="00F06459"/>
    <w:rsid w:val="00F06BB0"/>
    <w:rsid w:val="00F06D23"/>
    <w:rsid w:val="00F0720C"/>
    <w:rsid w:val="00F074F6"/>
    <w:rsid w:val="00F079D0"/>
    <w:rsid w:val="00F07CC0"/>
    <w:rsid w:val="00F13782"/>
    <w:rsid w:val="00F13BE1"/>
    <w:rsid w:val="00F13BE6"/>
    <w:rsid w:val="00F13D7D"/>
    <w:rsid w:val="00F1450A"/>
    <w:rsid w:val="00F147B7"/>
    <w:rsid w:val="00F149D8"/>
    <w:rsid w:val="00F1523F"/>
    <w:rsid w:val="00F15358"/>
    <w:rsid w:val="00F162AE"/>
    <w:rsid w:val="00F1684C"/>
    <w:rsid w:val="00F17156"/>
    <w:rsid w:val="00F2167A"/>
    <w:rsid w:val="00F227E5"/>
    <w:rsid w:val="00F228E3"/>
    <w:rsid w:val="00F2405A"/>
    <w:rsid w:val="00F2663C"/>
    <w:rsid w:val="00F30032"/>
    <w:rsid w:val="00F32A04"/>
    <w:rsid w:val="00F32AFA"/>
    <w:rsid w:val="00F3387C"/>
    <w:rsid w:val="00F33902"/>
    <w:rsid w:val="00F350A5"/>
    <w:rsid w:val="00F35307"/>
    <w:rsid w:val="00F369DD"/>
    <w:rsid w:val="00F37706"/>
    <w:rsid w:val="00F4097F"/>
    <w:rsid w:val="00F414DF"/>
    <w:rsid w:val="00F415FD"/>
    <w:rsid w:val="00F4295C"/>
    <w:rsid w:val="00F42BDE"/>
    <w:rsid w:val="00F42DE2"/>
    <w:rsid w:val="00F42E66"/>
    <w:rsid w:val="00F438F8"/>
    <w:rsid w:val="00F43DDB"/>
    <w:rsid w:val="00F444DF"/>
    <w:rsid w:val="00F453FD"/>
    <w:rsid w:val="00F46820"/>
    <w:rsid w:val="00F46ADC"/>
    <w:rsid w:val="00F46C20"/>
    <w:rsid w:val="00F477CD"/>
    <w:rsid w:val="00F50EC9"/>
    <w:rsid w:val="00F52BF9"/>
    <w:rsid w:val="00F5366E"/>
    <w:rsid w:val="00F54679"/>
    <w:rsid w:val="00F549C1"/>
    <w:rsid w:val="00F559CD"/>
    <w:rsid w:val="00F55DCD"/>
    <w:rsid w:val="00F56ABB"/>
    <w:rsid w:val="00F57431"/>
    <w:rsid w:val="00F61A48"/>
    <w:rsid w:val="00F62089"/>
    <w:rsid w:val="00F6209A"/>
    <w:rsid w:val="00F62A4C"/>
    <w:rsid w:val="00F63964"/>
    <w:rsid w:val="00F646EC"/>
    <w:rsid w:val="00F70624"/>
    <w:rsid w:val="00F70C06"/>
    <w:rsid w:val="00F717F5"/>
    <w:rsid w:val="00F7226E"/>
    <w:rsid w:val="00F72DD6"/>
    <w:rsid w:val="00F73175"/>
    <w:rsid w:val="00F73709"/>
    <w:rsid w:val="00F73A75"/>
    <w:rsid w:val="00F73C52"/>
    <w:rsid w:val="00F75217"/>
    <w:rsid w:val="00F75FF8"/>
    <w:rsid w:val="00F7616D"/>
    <w:rsid w:val="00F82041"/>
    <w:rsid w:val="00F838D1"/>
    <w:rsid w:val="00F83E38"/>
    <w:rsid w:val="00F84CFF"/>
    <w:rsid w:val="00F86230"/>
    <w:rsid w:val="00F866F4"/>
    <w:rsid w:val="00F86F21"/>
    <w:rsid w:val="00F87E39"/>
    <w:rsid w:val="00F908E0"/>
    <w:rsid w:val="00F90EA9"/>
    <w:rsid w:val="00F90EFB"/>
    <w:rsid w:val="00F91E53"/>
    <w:rsid w:val="00F928E0"/>
    <w:rsid w:val="00F94CF5"/>
    <w:rsid w:val="00F95191"/>
    <w:rsid w:val="00F95469"/>
    <w:rsid w:val="00F96098"/>
    <w:rsid w:val="00F965F6"/>
    <w:rsid w:val="00FA1B64"/>
    <w:rsid w:val="00FA1BF6"/>
    <w:rsid w:val="00FA328F"/>
    <w:rsid w:val="00FA42D1"/>
    <w:rsid w:val="00FA4429"/>
    <w:rsid w:val="00FA59ED"/>
    <w:rsid w:val="00FA7FB3"/>
    <w:rsid w:val="00FB0137"/>
    <w:rsid w:val="00FB1F0F"/>
    <w:rsid w:val="00FB2B2B"/>
    <w:rsid w:val="00FB4AE7"/>
    <w:rsid w:val="00FB5568"/>
    <w:rsid w:val="00FB55E3"/>
    <w:rsid w:val="00FB66C1"/>
    <w:rsid w:val="00FC07E9"/>
    <w:rsid w:val="00FC0975"/>
    <w:rsid w:val="00FC0F7F"/>
    <w:rsid w:val="00FC17B2"/>
    <w:rsid w:val="00FC293C"/>
    <w:rsid w:val="00FC384F"/>
    <w:rsid w:val="00FC428D"/>
    <w:rsid w:val="00FC604E"/>
    <w:rsid w:val="00FC695B"/>
    <w:rsid w:val="00FD0A75"/>
    <w:rsid w:val="00FD1629"/>
    <w:rsid w:val="00FD33AF"/>
    <w:rsid w:val="00FD3AAD"/>
    <w:rsid w:val="00FD542D"/>
    <w:rsid w:val="00FD6D26"/>
    <w:rsid w:val="00FE0102"/>
    <w:rsid w:val="00FE0E5C"/>
    <w:rsid w:val="00FE1306"/>
    <w:rsid w:val="00FE2127"/>
    <w:rsid w:val="00FE323A"/>
    <w:rsid w:val="00FE33DF"/>
    <w:rsid w:val="00FE3715"/>
    <w:rsid w:val="00FE38FD"/>
    <w:rsid w:val="00FE3E88"/>
    <w:rsid w:val="00FE62F0"/>
    <w:rsid w:val="00FE6320"/>
    <w:rsid w:val="00FE6C2F"/>
    <w:rsid w:val="00FE6C9D"/>
    <w:rsid w:val="00FE7AF6"/>
    <w:rsid w:val="00FF0AEF"/>
    <w:rsid w:val="00FF2409"/>
    <w:rsid w:val="00FF25C3"/>
    <w:rsid w:val="00FF2AE7"/>
    <w:rsid w:val="00FF4890"/>
    <w:rsid w:val="00FF4A5C"/>
    <w:rsid w:val="00FF5308"/>
    <w:rsid w:val="00FF5E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7048B"/>
  <w15:docId w15:val="{08E89367-8CF9-4300-B824-ADDDB049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iPriority="0"/>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lsdException w:name="footnote reference" w:semiHidden="1" w:uiPriority="0"/>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71C"/>
    <w:rPr>
      <w:rFonts w:ascii="Arial" w:hAnsi="Arial"/>
      <w:sz w:val="24"/>
    </w:rPr>
  </w:style>
  <w:style w:type="paragraph" w:styleId="Heading1">
    <w:name w:val="heading 1"/>
    <w:basedOn w:val="Normal"/>
    <w:next w:val="Normal"/>
    <w:link w:val="Heading1Char"/>
    <w:uiPriority w:val="99"/>
    <w:qFormat/>
    <w:rsid w:val="00DB771C"/>
    <w:pPr>
      <w:keepNext/>
      <w:widowControl w:val="0"/>
      <w:tabs>
        <w:tab w:val="center" w:pos="4680"/>
      </w:tabs>
      <w:suppressAutoHyphens/>
      <w:autoSpaceDE w:val="0"/>
      <w:autoSpaceDN w:val="0"/>
      <w:adjustRightInd w:val="0"/>
      <w:spacing w:line="240" w:lineRule="atLeast"/>
      <w:jc w:val="both"/>
      <w:outlineLvl w:val="0"/>
    </w:pPr>
    <w:rPr>
      <w:rFonts w:ascii="Courier New" w:hAnsi="Courier New" w:cs="Courier New"/>
      <w:spacing w:val="-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C17"/>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DB771C"/>
    <w:pPr>
      <w:widowControl w:val="0"/>
      <w:tabs>
        <w:tab w:val="left" w:pos="-2880"/>
        <w:tab w:val="left" w:pos="-2160"/>
        <w:tab w:val="left" w:pos="-1440"/>
        <w:tab w:val="left" w:pos="-720"/>
        <w:tab w:val="left" w:pos="960"/>
        <w:tab w:val="left" w:pos="1920"/>
        <w:tab w:val="left" w:pos="2880"/>
      </w:tabs>
      <w:suppressAutoHyphens/>
      <w:autoSpaceDE w:val="0"/>
      <w:autoSpaceDN w:val="0"/>
      <w:adjustRightInd w:val="0"/>
      <w:spacing w:line="480" w:lineRule="atLeast"/>
      <w:ind w:left="960"/>
      <w:jc w:val="both"/>
    </w:pPr>
    <w:rPr>
      <w:rFonts w:ascii="Courier New" w:hAnsi="Courier New" w:cs="Courier New"/>
      <w:spacing w:val="-3"/>
      <w:szCs w:val="24"/>
    </w:rPr>
  </w:style>
  <w:style w:type="character" w:customStyle="1" w:styleId="BodyTextIndentChar">
    <w:name w:val="Body Text Indent Char"/>
    <w:basedOn w:val="DefaultParagraphFont"/>
    <w:link w:val="BodyTextIndent"/>
    <w:uiPriority w:val="99"/>
    <w:semiHidden/>
    <w:rsid w:val="00962C17"/>
    <w:rPr>
      <w:rFonts w:ascii="Arial" w:hAnsi="Arial"/>
      <w:sz w:val="24"/>
    </w:rPr>
  </w:style>
  <w:style w:type="paragraph" w:styleId="BodyText">
    <w:name w:val="Body Text"/>
    <w:basedOn w:val="Normal"/>
    <w:link w:val="BodyTextChar"/>
    <w:uiPriority w:val="99"/>
    <w:rsid w:val="00DB771C"/>
    <w:pPr>
      <w:widowControl w:val="0"/>
      <w:tabs>
        <w:tab w:val="left" w:pos="-2880"/>
        <w:tab w:val="left" w:pos="-2160"/>
        <w:tab w:val="left" w:pos="-1440"/>
        <w:tab w:val="left" w:pos="-720"/>
        <w:tab w:val="left" w:pos="960"/>
        <w:tab w:val="left" w:pos="1920"/>
        <w:tab w:val="left" w:pos="2880"/>
      </w:tabs>
      <w:suppressAutoHyphens/>
      <w:autoSpaceDE w:val="0"/>
      <w:autoSpaceDN w:val="0"/>
      <w:adjustRightInd w:val="0"/>
      <w:spacing w:line="480" w:lineRule="atLeast"/>
      <w:jc w:val="both"/>
    </w:pPr>
    <w:rPr>
      <w:rFonts w:ascii="Courier New" w:hAnsi="Courier New" w:cs="Courier New"/>
      <w:spacing w:val="-3"/>
      <w:szCs w:val="24"/>
    </w:rPr>
  </w:style>
  <w:style w:type="character" w:customStyle="1" w:styleId="BodyTextChar">
    <w:name w:val="Body Text Char"/>
    <w:basedOn w:val="DefaultParagraphFont"/>
    <w:link w:val="BodyText"/>
    <w:uiPriority w:val="99"/>
    <w:semiHidden/>
    <w:rsid w:val="00962C17"/>
    <w:rPr>
      <w:rFonts w:ascii="Arial" w:hAnsi="Arial"/>
      <w:sz w:val="24"/>
    </w:rPr>
  </w:style>
  <w:style w:type="paragraph" w:customStyle="1" w:styleId="Testimony">
    <w:name w:val="Testimony"/>
    <w:basedOn w:val="Normal"/>
    <w:rsid w:val="00DB771C"/>
    <w:pPr>
      <w:widowControl w:val="0"/>
      <w:tabs>
        <w:tab w:val="left" w:pos="2160"/>
      </w:tabs>
      <w:spacing w:line="480" w:lineRule="auto"/>
      <w:ind w:firstLine="1080"/>
    </w:pPr>
    <w:rPr>
      <w:rFonts w:ascii="Courier" w:hAnsi="Courier"/>
    </w:rPr>
  </w:style>
  <w:style w:type="character" w:styleId="PageNumber">
    <w:name w:val="page number"/>
    <w:basedOn w:val="DefaultParagraphFont"/>
    <w:uiPriority w:val="99"/>
    <w:rsid w:val="00DB771C"/>
    <w:rPr>
      <w:rFonts w:ascii="Arial" w:hAnsi="Arial" w:cs="Times New Roman"/>
      <w:sz w:val="24"/>
    </w:rPr>
  </w:style>
  <w:style w:type="paragraph" w:styleId="FootnoteText">
    <w:name w:val="footnote text"/>
    <w:basedOn w:val="Normal"/>
    <w:link w:val="FootnoteTextChar"/>
    <w:uiPriority w:val="99"/>
    <w:semiHidden/>
    <w:rsid w:val="00DB771C"/>
  </w:style>
  <w:style w:type="character" w:customStyle="1" w:styleId="FootnoteTextChar">
    <w:name w:val="Footnote Text Char"/>
    <w:basedOn w:val="DefaultParagraphFont"/>
    <w:link w:val="FootnoteText"/>
    <w:uiPriority w:val="99"/>
    <w:semiHidden/>
    <w:rsid w:val="00962C17"/>
    <w:rPr>
      <w:rFonts w:ascii="Arial" w:hAnsi="Arial"/>
      <w:sz w:val="24"/>
      <w:szCs w:val="24"/>
    </w:rPr>
  </w:style>
  <w:style w:type="paragraph" w:styleId="EnvelopeReturn">
    <w:name w:val="envelope return"/>
    <w:basedOn w:val="Normal"/>
    <w:uiPriority w:val="99"/>
    <w:rsid w:val="00DB771C"/>
  </w:style>
  <w:style w:type="paragraph" w:styleId="PlainText">
    <w:name w:val="Plain Text"/>
    <w:basedOn w:val="Normal"/>
    <w:link w:val="PlainTextChar"/>
    <w:uiPriority w:val="99"/>
    <w:rsid w:val="00DB771C"/>
    <w:rPr>
      <w:rFonts w:cs="Courier New"/>
    </w:rPr>
  </w:style>
  <w:style w:type="character" w:customStyle="1" w:styleId="PlainTextChar">
    <w:name w:val="Plain Text Char"/>
    <w:basedOn w:val="DefaultParagraphFont"/>
    <w:link w:val="PlainText"/>
    <w:uiPriority w:val="99"/>
    <w:semiHidden/>
    <w:rsid w:val="00962C17"/>
    <w:rPr>
      <w:rFonts w:ascii="Courier" w:hAnsi="Courier"/>
    </w:rPr>
  </w:style>
  <w:style w:type="paragraph" w:styleId="BodyTextIndent2">
    <w:name w:val="Body Text Indent 2"/>
    <w:basedOn w:val="Normal"/>
    <w:link w:val="BodyTextIndent2Char"/>
    <w:uiPriority w:val="99"/>
    <w:rsid w:val="00DB771C"/>
    <w:pPr>
      <w:widowControl w:val="0"/>
      <w:tabs>
        <w:tab w:val="left" w:pos="-2880"/>
        <w:tab w:val="left" w:pos="-2160"/>
        <w:tab w:val="left" w:pos="-1440"/>
        <w:tab w:val="left" w:pos="-720"/>
        <w:tab w:val="left" w:pos="960"/>
        <w:tab w:val="left" w:pos="1920"/>
        <w:tab w:val="left" w:pos="2880"/>
      </w:tabs>
      <w:suppressAutoHyphens/>
      <w:autoSpaceDE w:val="0"/>
      <w:autoSpaceDN w:val="0"/>
      <w:adjustRightInd w:val="0"/>
      <w:spacing w:line="480" w:lineRule="atLeast"/>
      <w:ind w:left="2880" w:hanging="2880"/>
      <w:jc w:val="both"/>
    </w:pPr>
    <w:rPr>
      <w:rFonts w:ascii="Courier New" w:hAnsi="Courier New" w:cs="Courier New"/>
      <w:spacing w:val="-3"/>
      <w:szCs w:val="24"/>
    </w:rPr>
  </w:style>
  <w:style w:type="character" w:customStyle="1" w:styleId="BodyTextIndent2Char">
    <w:name w:val="Body Text Indent 2 Char"/>
    <w:basedOn w:val="DefaultParagraphFont"/>
    <w:link w:val="BodyTextIndent2"/>
    <w:uiPriority w:val="99"/>
    <w:semiHidden/>
    <w:rsid w:val="00962C17"/>
    <w:rPr>
      <w:rFonts w:ascii="Arial" w:hAnsi="Arial"/>
      <w:sz w:val="24"/>
    </w:rPr>
  </w:style>
  <w:style w:type="paragraph" w:styleId="BodyTextIndent3">
    <w:name w:val="Body Text Indent 3"/>
    <w:basedOn w:val="Normal"/>
    <w:link w:val="BodyTextIndent3Char"/>
    <w:uiPriority w:val="99"/>
    <w:rsid w:val="00DB771C"/>
    <w:pPr>
      <w:widowControl w:val="0"/>
      <w:tabs>
        <w:tab w:val="left" w:pos="-2880"/>
        <w:tab w:val="left" w:pos="-2160"/>
        <w:tab w:val="left" w:pos="-1440"/>
        <w:tab w:val="left" w:pos="-720"/>
        <w:tab w:val="left" w:pos="960"/>
        <w:tab w:val="left" w:pos="990"/>
        <w:tab w:val="left" w:pos="1920"/>
        <w:tab w:val="left" w:pos="2880"/>
      </w:tabs>
      <w:suppressAutoHyphens/>
      <w:autoSpaceDE w:val="0"/>
      <w:autoSpaceDN w:val="0"/>
      <w:adjustRightInd w:val="0"/>
      <w:spacing w:line="480" w:lineRule="atLeast"/>
      <w:ind w:left="990" w:hanging="990"/>
      <w:jc w:val="both"/>
    </w:pPr>
    <w:rPr>
      <w:rFonts w:ascii="Courier New" w:hAnsi="Courier New" w:cs="Courier New"/>
      <w:spacing w:val="-3"/>
      <w:szCs w:val="24"/>
    </w:rPr>
  </w:style>
  <w:style w:type="character" w:customStyle="1" w:styleId="BodyTextIndent3Char">
    <w:name w:val="Body Text Indent 3 Char"/>
    <w:basedOn w:val="DefaultParagraphFont"/>
    <w:link w:val="BodyTextIndent3"/>
    <w:uiPriority w:val="99"/>
    <w:semiHidden/>
    <w:rsid w:val="00962C17"/>
    <w:rPr>
      <w:rFonts w:ascii="Arial" w:hAnsi="Arial"/>
      <w:sz w:val="16"/>
      <w:szCs w:val="16"/>
    </w:rPr>
  </w:style>
  <w:style w:type="character" w:styleId="LineNumber">
    <w:name w:val="line number"/>
    <w:basedOn w:val="DefaultParagraphFont"/>
    <w:uiPriority w:val="99"/>
    <w:rsid w:val="00A7745E"/>
    <w:rPr>
      <w:rFonts w:ascii="Courier New" w:hAnsi="Courier New" w:cs="Times New Roman"/>
      <w:sz w:val="24"/>
    </w:rPr>
  </w:style>
  <w:style w:type="paragraph" w:styleId="Header">
    <w:name w:val="header"/>
    <w:basedOn w:val="Normal"/>
    <w:link w:val="HeaderChar"/>
    <w:uiPriority w:val="99"/>
    <w:rsid w:val="00DB771C"/>
    <w:pPr>
      <w:tabs>
        <w:tab w:val="center" w:pos="4320"/>
        <w:tab w:val="right" w:pos="8640"/>
      </w:tabs>
    </w:pPr>
  </w:style>
  <w:style w:type="character" w:customStyle="1" w:styleId="HeaderChar">
    <w:name w:val="Header Char"/>
    <w:basedOn w:val="DefaultParagraphFont"/>
    <w:link w:val="Header"/>
    <w:uiPriority w:val="99"/>
    <w:rsid w:val="003D1536"/>
    <w:rPr>
      <w:rFonts w:ascii="Arial" w:hAnsi="Arial" w:cs="Times New Roman"/>
      <w:snapToGrid w:val="0"/>
      <w:sz w:val="24"/>
    </w:rPr>
  </w:style>
  <w:style w:type="paragraph" w:styleId="Footer">
    <w:name w:val="footer"/>
    <w:basedOn w:val="Normal"/>
    <w:link w:val="FooterChar"/>
    <w:uiPriority w:val="99"/>
    <w:semiHidden/>
    <w:rsid w:val="00DB771C"/>
    <w:pPr>
      <w:tabs>
        <w:tab w:val="center" w:pos="4320"/>
        <w:tab w:val="right" w:pos="8640"/>
      </w:tabs>
    </w:pPr>
  </w:style>
  <w:style w:type="character" w:customStyle="1" w:styleId="FooterChar">
    <w:name w:val="Footer Char"/>
    <w:basedOn w:val="DefaultParagraphFont"/>
    <w:link w:val="Footer"/>
    <w:uiPriority w:val="99"/>
    <w:semiHidden/>
    <w:rsid w:val="00962C17"/>
    <w:rPr>
      <w:rFonts w:ascii="Arial" w:hAnsi="Arial"/>
      <w:sz w:val="24"/>
    </w:rPr>
  </w:style>
  <w:style w:type="character" w:styleId="CommentReference">
    <w:name w:val="annotation reference"/>
    <w:basedOn w:val="DefaultParagraphFont"/>
    <w:semiHidden/>
    <w:rsid w:val="00DB771C"/>
    <w:rPr>
      <w:rFonts w:cs="Times New Roman"/>
      <w:sz w:val="16"/>
    </w:rPr>
  </w:style>
  <w:style w:type="paragraph" w:styleId="CommentText">
    <w:name w:val="annotation text"/>
    <w:basedOn w:val="Normal"/>
    <w:link w:val="CommentTextChar"/>
    <w:semiHidden/>
    <w:rsid w:val="00DB771C"/>
    <w:rPr>
      <w:sz w:val="20"/>
    </w:rPr>
  </w:style>
  <w:style w:type="character" w:customStyle="1" w:styleId="CommentTextChar">
    <w:name w:val="Comment Text Char"/>
    <w:basedOn w:val="DefaultParagraphFont"/>
    <w:link w:val="CommentText"/>
    <w:semiHidden/>
    <w:rsid w:val="00757C72"/>
    <w:rPr>
      <w:rFonts w:ascii="Arial" w:hAnsi="Arial" w:cs="Times New Roman"/>
      <w:snapToGrid w:val="0"/>
    </w:rPr>
  </w:style>
  <w:style w:type="paragraph" w:customStyle="1" w:styleId="TxBrp2">
    <w:name w:val="TxBr_p2"/>
    <w:basedOn w:val="Normal"/>
    <w:rsid w:val="00B463E3"/>
    <w:pPr>
      <w:widowControl w:val="0"/>
      <w:tabs>
        <w:tab w:val="left" w:pos="788"/>
      </w:tabs>
      <w:autoSpaceDE w:val="0"/>
      <w:autoSpaceDN w:val="0"/>
      <w:adjustRightInd w:val="0"/>
      <w:spacing w:line="538" w:lineRule="atLeast"/>
      <w:ind w:left="181" w:hanging="788"/>
    </w:pPr>
    <w:rPr>
      <w:rFonts w:ascii="Times New Roman" w:hAnsi="Times New Roman"/>
      <w:sz w:val="20"/>
      <w:szCs w:val="24"/>
    </w:rPr>
  </w:style>
  <w:style w:type="paragraph" w:styleId="BalloonText">
    <w:name w:val="Balloon Text"/>
    <w:basedOn w:val="Normal"/>
    <w:link w:val="BalloonTextChar"/>
    <w:uiPriority w:val="99"/>
    <w:semiHidden/>
    <w:rsid w:val="009032E4"/>
    <w:rPr>
      <w:rFonts w:ascii="Tahoma" w:hAnsi="Tahoma" w:cs="Tahoma"/>
      <w:sz w:val="16"/>
      <w:szCs w:val="16"/>
    </w:rPr>
  </w:style>
  <w:style w:type="character" w:customStyle="1" w:styleId="BalloonTextChar">
    <w:name w:val="Balloon Text Char"/>
    <w:basedOn w:val="DefaultParagraphFont"/>
    <w:link w:val="BalloonText"/>
    <w:uiPriority w:val="99"/>
    <w:rsid w:val="009032E4"/>
    <w:rPr>
      <w:rFonts w:ascii="Tahoma" w:hAnsi="Tahoma" w:cs="Tahoma"/>
      <w:snapToGrid w:val="0"/>
      <w:sz w:val="16"/>
    </w:rPr>
  </w:style>
  <w:style w:type="paragraph" w:styleId="CommentSubject">
    <w:name w:val="annotation subject"/>
    <w:basedOn w:val="CommentText"/>
    <w:next w:val="CommentText"/>
    <w:link w:val="CommentSubjectChar"/>
    <w:uiPriority w:val="99"/>
    <w:semiHidden/>
    <w:rsid w:val="00757C72"/>
    <w:rPr>
      <w:b/>
      <w:bCs/>
    </w:rPr>
  </w:style>
  <w:style w:type="character" w:customStyle="1" w:styleId="CommentSubjectChar">
    <w:name w:val="Comment Subject Char"/>
    <w:basedOn w:val="CommentTextChar"/>
    <w:link w:val="CommentSubject"/>
    <w:uiPriority w:val="99"/>
    <w:rsid w:val="00757C72"/>
    <w:rPr>
      <w:rFonts w:ascii="Arial" w:hAnsi="Arial" w:cs="Times New Roman"/>
      <w:snapToGrid w:val="0"/>
    </w:rPr>
  </w:style>
  <w:style w:type="paragraph" w:styleId="EndnoteText">
    <w:name w:val="endnote text"/>
    <w:basedOn w:val="Normal"/>
    <w:link w:val="EndnoteTextChar"/>
    <w:uiPriority w:val="99"/>
    <w:semiHidden/>
    <w:rsid w:val="005E1663"/>
    <w:rPr>
      <w:sz w:val="20"/>
    </w:rPr>
  </w:style>
  <w:style w:type="character" w:customStyle="1" w:styleId="EndnoteTextChar">
    <w:name w:val="Endnote Text Char"/>
    <w:basedOn w:val="DefaultParagraphFont"/>
    <w:link w:val="EndnoteText"/>
    <w:uiPriority w:val="99"/>
    <w:rsid w:val="005E1663"/>
    <w:rPr>
      <w:rFonts w:ascii="Arial" w:hAnsi="Arial" w:cs="Times New Roman"/>
      <w:snapToGrid w:val="0"/>
    </w:rPr>
  </w:style>
  <w:style w:type="character" w:styleId="EndnoteReference">
    <w:name w:val="endnote reference"/>
    <w:basedOn w:val="DefaultParagraphFont"/>
    <w:uiPriority w:val="99"/>
    <w:semiHidden/>
    <w:rsid w:val="005E1663"/>
    <w:rPr>
      <w:rFonts w:cs="Times New Roman"/>
      <w:vertAlign w:val="superscript"/>
    </w:rPr>
  </w:style>
  <w:style w:type="character" w:styleId="FootnoteReference">
    <w:name w:val="footnote reference"/>
    <w:basedOn w:val="DefaultParagraphFont"/>
    <w:semiHidden/>
    <w:rsid w:val="005E1663"/>
    <w:rPr>
      <w:rFonts w:cs="Times New Roman"/>
      <w:vertAlign w:val="superscript"/>
    </w:rPr>
  </w:style>
  <w:style w:type="paragraph" w:styleId="NormalWeb">
    <w:name w:val="Normal (Web)"/>
    <w:basedOn w:val="Normal"/>
    <w:uiPriority w:val="99"/>
    <w:semiHidden/>
    <w:rsid w:val="0022092E"/>
    <w:pPr>
      <w:spacing w:before="100" w:beforeAutospacing="1" w:after="100" w:afterAutospacing="1"/>
    </w:pPr>
    <w:rPr>
      <w:rFonts w:ascii="Times New Roman" w:hAnsi="Times New Roman"/>
      <w:szCs w:val="24"/>
    </w:rPr>
  </w:style>
  <w:style w:type="paragraph" w:styleId="Revision">
    <w:name w:val="Revision"/>
    <w:hidden/>
    <w:uiPriority w:val="99"/>
    <w:semiHidden/>
    <w:rsid w:val="005B07FA"/>
    <w:rPr>
      <w:rFonts w:ascii="Arial" w:hAnsi="Arial"/>
      <w:sz w:val="24"/>
    </w:rPr>
  </w:style>
  <w:style w:type="table" w:styleId="TableGrid">
    <w:name w:val="Table Grid"/>
    <w:basedOn w:val="TableNormal"/>
    <w:uiPriority w:val="59"/>
    <w:rsid w:val="00EB6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0C06"/>
    <w:rPr>
      <w:color w:val="0000FF"/>
      <w:u w:val="single"/>
    </w:rPr>
  </w:style>
  <w:style w:type="paragraph" w:styleId="ListParagraph">
    <w:name w:val="List Paragraph"/>
    <w:basedOn w:val="Normal"/>
    <w:uiPriority w:val="34"/>
    <w:qFormat/>
    <w:rsid w:val="000E59AA"/>
    <w:pPr>
      <w:ind w:left="720"/>
      <w:contextualSpacing/>
    </w:pPr>
  </w:style>
  <w:style w:type="character" w:styleId="UnresolvedMention">
    <w:name w:val="Unresolved Mention"/>
    <w:basedOn w:val="DefaultParagraphFont"/>
    <w:uiPriority w:val="99"/>
    <w:semiHidden/>
    <w:unhideWhenUsed/>
    <w:rsid w:val="00762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384">
      <w:bodyDiv w:val="1"/>
      <w:marLeft w:val="0"/>
      <w:marRight w:val="0"/>
      <w:marTop w:val="0"/>
      <w:marBottom w:val="0"/>
      <w:divBdr>
        <w:top w:val="none" w:sz="0" w:space="0" w:color="auto"/>
        <w:left w:val="none" w:sz="0" w:space="0" w:color="auto"/>
        <w:bottom w:val="none" w:sz="0" w:space="0" w:color="auto"/>
        <w:right w:val="none" w:sz="0" w:space="0" w:color="auto"/>
      </w:divBdr>
    </w:div>
    <w:div w:id="21633306">
      <w:bodyDiv w:val="1"/>
      <w:marLeft w:val="0"/>
      <w:marRight w:val="0"/>
      <w:marTop w:val="0"/>
      <w:marBottom w:val="0"/>
      <w:divBdr>
        <w:top w:val="none" w:sz="0" w:space="0" w:color="auto"/>
        <w:left w:val="none" w:sz="0" w:space="0" w:color="auto"/>
        <w:bottom w:val="none" w:sz="0" w:space="0" w:color="auto"/>
        <w:right w:val="none" w:sz="0" w:space="0" w:color="auto"/>
      </w:divBdr>
    </w:div>
    <w:div w:id="62021775">
      <w:bodyDiv w:val="1"/>
      <w:marLeft w:val="0"/>
      <w:marRight w:val="0"/>
      <w:marTop w:val="0"/>
      <w:marBottom w:val="0"/>
      <w:divBdr>
        <w:top w:val="none" w:sz="0" w:space="0" w:color="auto"/>
        <w:left w:val="none" w:sz="0" w:space="0" w:color="auto"/>
        <w:bottom w:val="none" w:sz="0" w:space="0" w:color="auto"/>
        <w:right w:val="none" w:sz="0" w:space="0" w:color="auto"/>
      </w:divBdr>
    </w:div>
    <w:div w:id="77943100">
      <w:bodyDiv w:val="1"/>
      <w:marLeft w:val="0"/>
      <w:marRight w:val="0"/>
      <w:marTop w:val="0"/>
      <w:marBottom w:val="0"/>
      <w:divBdr>
        <w:top w:val="none" w:sz="0" w:space="0" w:color="auto"/>
        <w:left w:val="none" w:sz="0" w:space="0" w:color="auto"/>
        <w:bottom w:val="none" w:sz="0" w:space="0" w:color="auto"/>
        <w:right w:val="none" w:sz="0" w:space="0" w:color="auto"/>
      </w:divBdr>
    </w:div>
    <w:div w:id="121919898">
      <w:bodyDiv w:val="1"/>
      <w:marLeft w:val="0"/>
      <w:marRight w:val="0"/>
      <w:marTop w:val="0"/>
      <w:marBottom w:val="0"/>
      <w:divBdr>
        <w:top w:val="none" w:sz="0" w:space="0" w:color="auto"/>
        <w:left w:val="none" w:sz="0" w:space="0" w:color="auto"/>
        <w:bottom w:val="none" w:sz="0" w:space="0" w:color="auto"/>
        <w:right w:val="none" w:sz="0" w:space="0" w:color="auto"/>
      </w:divBdr>
    </w:div>
    <w:div w:id="187332845">
      <w:bodyDiv w:val="1"/>
      <w:marLeft w:val="0"/>
      <w:marRight w:val="0"/>
      <w:marTop w:val="0"/>
      <w:marBottom w:val="0"/>
      <w:divBdr>
        <w:top w:val="none" w:sz="0" w:space="0" w:color="auto"/>
        <w:left w:val="none" w:sz="0" w:space="0" w:color="auto"/>
        <w:bottom w:val="none" w:sz="0" w:space="0" w:color="auto"/>
        <w:right w:val="none" w:sz="0" w:space="0" w:color="auto"/>
      </w:divBdr>
    </w:div>
    <w:div w:id="213272026">
      <w:bodyDiv w:val="1"/>
      <w:marLeft w:val="0"/>
      <w:marRight w:val="0"/>
      <w:marTop w:val="0"/>
      <w:marBottom w:val="0"/>
      <w:divBdr>
        <w:top w:val="none" w:sz="0" w:space="0" w:color="auto"/>
        <w:left w:val="none" w:sz="0" w:space="0" w:color="auto"/>
        <w:bottom w:val="none" w:sz="0" w:space="0" w:color="auto"/>
        <w:right w:val="none" w:sz="0" w:space="0" w:color="auto"/>
      </w:divBdr>
    </w:div>
    <w:div w:id="244613058">
      <w:bodyDiv w:val="1"/>
      <w:marLeft w:val="0"/>
      <w:marRight w:val="0"/>
      <w:marTop w:val="0"/>
      <w:marBottom w:val="0"/>
      <w:divBdr>
        <w:top w:val="none" w:sz="0" w:space="0" w:color="auto"/>
        <w:left w:val="none" w:sz="0" w:space="0" w:color="auto"/>
        <w:bottom w:val="none" w:sz="0" w:space="0" w:color="auto"/>
        <w:right w:val="none" w:sz="0" w:space="0" w:color="auto"/>
      </w:divBdr>
    </w:div>
    <w:div w:id="316302646">
      <w:bodyDiv w:val="1"/>
      <w:marLeft w:val="0"/>
      <w:marRight w:val="0"/>
      <w:marTop w:val="0"/>
      <w:marBottom w:val="0"/>
      <w:divBdr>
        <w:top w:val="none" w:sz="0" w:space="0" w:color="auto"/>
        <w:left w:val="none" w:sz="0" w:space="0" w:color="auto"/>
        <w:bottom w:val="none" w:sz="0" w:space="0" w:color="auto"/>
        <w:right w:val="none" w:sz="0" w:space="0" w:color="auto"/>
      </w:divBdr>
    </w:div>
    <w:div w:id="326134682">
      <w:bodyDiv w:val="1"/>
      <w:marLeft w:val="0"/>
      <w:marRight w:val="0"/>
      <w:marTop w:val="0"/>
      <w:marBottom w:val="0"/>
      <w:divBdr>
        <w:top w:val="none" w:sz="0" w:space="0" w:color="auto"/>
        <w:left w:val="none" w:sz="0" w:space="0" w:color="auto"/>
        <w:bottom w:val="none" w:sz="0" w:space="0" w:color="auto"/>
        <w:right w:val="none" w:sz="0" w:space="0" w:color="auto"/>
      </w:divBdr>
    </w:div>
    <w:div w:id="343947120">
      <w:bodyDiv w:val="1"/>
      <w:marLeft w:val="0"/>
      <w:marRight w:val="0"/>
      <w:marTop w:val="0"/>
      <w:marBottom w:val="0"/>
      <w:divBdr>
        <w:top w:val="none" w:sz="0" w:space="0" w:color="auto"/>
        <w:left w:val="none" w:sz="0" w:space="0" w:color="auto"/>
        <w:bottom w:val="none" w:sz="0" w:space="0" w:color="auto"/>
        <w:right w:val="none" w:sz="0" w:space="0" w:color="auto"/>
      </w:divBdr>
    </w:div>
    <w:div w:id="347294318">
      <w:bodyDiv w:val="1"/>
      <w:marLeft w:val="0"/>
      <w:marRight w:val="0"/>
      <w:marTop w:val="0"/>
      <w:marBottom w:val="0"/>
      <w:divBdr>
        <w:top w:val="none" w:sz="0" w:space="0" w:color="auto"/>
        <w:left w:val="none" w:sz="0" w:space="0" w:color="auto"/>
        <w:bottom w:val="none" w:sz="0" w:space="0" w:color="auto"/>
        <w:right w:val="none" w:sz="0" w:space="0" w:color="auto"/>
      </w:divBdr>
    </w:div>
    <w:div w:id="358700065">
      <w:bodyDiv w:val="1"/>
      <w:marLeft w:val="0"/>
      <w:marRight w:val="0"/>
      <w:marTop w:val="0"/>
      <w:marBottom w:val="0"/>
      <w:divBdr>
        <w:top w:val="none" w:sz="0" w:space="0" w:color="auto"/>
        <w:left w:val="none" w:sz="0" w:space="0" w:color="auto"/>
        <w:bottom w:val="none" w:sz="0" w:space="0" w:color="auto"/>
        <w:right w:val="none" w:sz="0" w:space="0" w:color="auto"/>
      </w:divBdr>
    </w:div>
    <w:div w:id="360667906">
      <w:bodyDiv w:val="1"/>
      <w:marLeft w:val="0"/>
      <w:marRight w:val="0"/>
      <w:marTop w:val="0"/>
      <w:marBottom w:val="0"/>
      <w:divBdr>
        <w:top w:val="none" w:sz="0" w:space="0" w:color="auto"/>
        <w:left w:val="none" w:sz="0" w:space="0" w:color="auto"/>
        <w:bottom w:val="none" w:sz="0" w:space="0" w:color="auto"/>
        <w:right w:val="none" w:sz="0" w:space="0" w:color="auto"/>
      </w:divBdr>
    </w:div>
    <w:div w:id="365104039">
      <w:bodyDiv w:val="1"/>
      <w:marLeft w:val="0"/>
      <w:marRight w:val="0"/>
      <w:marTop w:val="0"/>
      <w:marBottom w:val="0"/>
      <w:divBdr>
        <w:top w:val="none" w:sz="0" w:space="0" w:color="auto"/>
        <w:left w:val="none" w:sz="0" w:space="0" w:color="auto"/>
        <w:bottom w:val="none" w:sz="0" w:space="0" w:color="auto"/>
        <w:right w:val="none" w:sz="0" w:space="0" w:color="auto"/>
      </w:divBdr>
    </w:div>
    <w:div w:id="438718566">
      <w:bodyDiv w:val="1"/>
      <w:marLeft w:val="0"/>
      <w:marRight w:val="0"/>
      <w:marTop w:val="0"/>
      <w:marBottom w:val="0"/>
      <w:divBdr>
        <w:top w:val="none" w:sz="0" w:space="0" w:color="auto"/>
        <w:left w:val="none" w:sz="0" w:space="0" w:color="auto"/>
        <w:bottom w:val="none" w:sz="0" w:space="0" w:color="auto"/>
        <w:right w:val="none" w:sz="0" w:space="0" w:color="auto"/>
      </w:divBdr>
    </w:div>
    <w:div w:id="457190645">
      <w:bodyDiv w:val="1"/>
      <w:marLeft w:val="0"/>
      <w:marRight w:val="0"/>
      <w:marTop w:val="0"/>
      <w:marBottom w:val="0"/>
      <w:divBdr>
        <w:top w:val="none" w:sz="0" w:space="0" w:color="auto"/>
        <w:left w:val="none" w:sz="0" w:space="0" w:color="auto"/>
        <w:bottom w:val="none" w:sz="0" w:space="0" w:color="auto"/>
        <w:right w:val="none" w:sz="0" w:space="0" w:color="auto"/>
      </w:divBdr>
    </w:div>
    <w:div w:id="536620256">
      <w:bodyDiv w:val="1"/>
      <w:marLeft w:val="0"/>
      <w:marRight w:val="0"/>
      <w:marTop w:val="0"/>
      <w:marBottom w:val="0"/>
      <w:divBdr>
        <w:top w:val="none" w:sz="0" w:space="0" w:color="auto"/>
        <w:left w:val="none" w:sz="0" w:space="0" w:color="auto"/>
        <w:bottom w:val="none" w:sz="0" w:space="0" w:color="auto"/>
        <w:right w:val="none" w:sz="0" w:space="0" w:color="auto"/>
      </w:divBdr>
    </w:div>
    <w:div w:id="649986524">
      <w:bodyDiv w:val="1"/>
      <w:marLeft w:val="0"/>
      <w:marRight w:val="0"/>
      <w:marTop w:val="0"/>
      <w:marBottom w:val="0"/>
      <w:divBdr>
        <w:top w:val="none" w:sz="0" w:space="0" w:color="auto"/>
        <w:left w:val="none" w:sz="0" w:space="0" w:color="auto"/>
        <w:bottom w:val="none" w:sz="0" w:space="0" w:color="auto"/>
        <w:right w:val="none" w:sz="0" w:space="0" w:color="auto"/>
      </w:divBdr>
    </w:div>
    <w:div w:id="667177619">
      <w:bodyDiv w:val="1"/>
      <w:marLeft w:val="0"/>
      <w:marRight w:val="0"/>
      <w:marTop w:val="0"/>
      <w:marBottom w:val="0"/>
      <w:divBdr>
        <w:top w:val="none" w:sz="0" w:space="0" w:color="auto"/>
        <w:left w:val="none" w:sz="0" w:space="0" w:color="auto"/>
        <w:bottom w:val="none" w:sz="0" w:space="0" w:color="auto"/>
        <w:right w:val="none" w:sz="0" w:space="0" w:color="auto"/>
      </w:divBdr>
    </w:div>
    <w:div w:id="724184215">
      <w:bodyDiv w:val="1"/>
      <w:marLeft w:val="0"/>
      <w:marRight w:val="0"/>
      <w:marTop w:val="0"/>
      <w:marBottom w:val="0"/>
      <w:divBdr>
        <w:top w:val="none" w:sz="0" w:space="0" w:color="auto"/>
        <w:left w:val="none" w:sz="0" w:space="0" w:color="auto"/>
        <w:bottom w:val="none" w:sz="0" w:space="0" w:color="auto"/>
        <w:right w:val="none" w:sz="0" w:space="0" w:color="auto"/>
      </w:divBdr>
    </w:div>
    <w:div w:id="727530263">
      <w:bodyDiv w:val="1"/>
      <w:marLeft w:val="0"/>
      <w:marRight w:val="0"/>
      <w:marTop w:val="0"/>
      <w:marBottom w:val="0"/>
      <w:divBdr>
        <w:top w:val="none" w:sz="0" w:space="0" w:color="auto"/>
        <w:left w:val="none" w:sz="0" w:space="0" w:color="auto"/>
        <w:bottom w:val="none" w:sz="0" w:space="0" w:color="auto"/>
        <w:right w:val="none" w:sz="0" w:space="0" w:color="auto"/>
      </w:divBdr>
    </w:div>
    <w:div w:id="758873423">
      <w:bodyDiv w:val="1"/>
      <w:marLeft w:val="0"/>
      <w:marRight w:val="0"/>
      <w:marTop w:val="0"/>
      <w:marBottom w:val="0"/>
      <w:divBdr>
        <w:top w:val="none" w:sz="0" w:space="0" w:color="auto"/>
        <w:left w:val="none" w:sz="0" w:space="0" w:color="auto"/>
        <w:bottom w:val="none" w:sz="0" w:space="0" w:color="auto"/>
        <w:right w:val="none" w:sz="0" w:space="0" w:color="auto"/>
      </w:divBdr>
    </w:div>
    <w:div w:id="850336873">
      <w:bodyDiv w:val="1"/>
      <w:marLeft w:val="0"/>
      <w:marRight w:val="0"/>
      <w:marTop w:val="0"/>
      <w:marBottom w:val="0"/>
      <w:divBdr>
        <w:top w:val="none" w:sz="0" w:space="0" w:color="auto"/>
        <w:left w:val="none" w:sz="0" w:space="0" w:color="auto"/>
        <w:bottom w:val="none" w:sz="0" w:space="0" w:color="auto"/>
        <w:right w:val="none" w:sz="0" w:space="0" w:color="auto"/>
      </w:divBdr>
    </w:div>
    <w:div w:id="856117094">
      <w:bodyDiv w:val="1"/>
      <w:marLeft w:val="0"/>
      <w:marRight w:val="0"/>
      <w:marTop w:val="0"/>
      <w:marBottom w:val="0"/>
      <w:divBdr>
        <w:top w:val="none" w:sz="0" w:space="0" w:color="auto"/>
        <w:left w:val="none" w:sz="0" w:space="0" w:color="auto"/>
        <w:bottom w:val="none" w:sz="0" w:space="0" w:color="auto"/>
        <w:right w:val="none" w:sz="0" w:space="0" w:color="auto"/>
      </w:divBdr>
    </w:div>
    <w:div w:id="860094604">
      <w:bodyDiv w:val="1"/>
      <w:marLeft w:val="0"/>
      <w:marRight w:val="0"/>
      <w:marTop w:val="0"/>
      <w:marBottom w:val="0"/>
      <w:divBdr>
        <w:top w:val="none" w:sz="0" w:space="0" w:color="auto"/>
        <w:left w:val="none" w:sz="0" w:space="0" w:color="auto"/>
        <w:bottom w:val="none" w:sz="0" w:space="0" w:color="auto"/>
        <w:right w:val="none" w:sz="0" w:space="0" w:color="auto"/>
      </w:divBdr>
    </w:div>
    <w:div w:id="872813316">
      <w:bodyDiv w:val="1"/>
      <w:marLeft w:val="0"/>
      <w:marRight w:val="0"/>
      <w:marTop w:val="0"/>
      <w:marBottom w:val="0"/>
      <w:divBdr>
        <w:top w:val="none" w:sz="0" w:space="0" w:color="auto"/>
        <w:left w:val="none" w:sz="0" w:space="0" w:color="auto"/>
        <w:bottom w:val="none" w:sz="0" w:space="0" w:color="auto"/>
        <w:right w:val="none" w:sz="0" w:space="0" w:color="auto"/>
      </w:divBdr>
    </w:div>
    <w:div w:id="913852614">
      <w:bodyDiv w:val="1"/>
      <w:marLeft w:val="0"/>
      <w:marRight w:val="0"/>
      <w:marTop w:val="0"/>
      <w:marBottom w:val="0"/>
      <w:divBdr>
        <w:top w:val="none" w:sz="0" w:space="0" w:color="auto"/>
        <w:left w:val="none" w:sz="0" w:space="0" w:color="auto"/>
        <w:bottom w:val="none" w:sz="0" w:space="0" w:color="auto"/>
        <w:right w:val="none" w:sz="0" w:space="0" w:color="auto"/>
      </w:divBdr>
    </w:div>
    <w:div w:id="932935160">
      <w:bodyDiv w:val="1"/>
      <w:marLeft w:val="0"/>
      <w:marRight w:val="0"/>
      <w:marTop w:val="0"/>
      <w:marBottom w:val="0"/>
      <w:divBdr>
        <w:top w:val="none" w:sz="0" w:space="0" w:color="auto"/>
        <w:left w:val="none" w:sz="0" w:space="0" w:color="auto"/>
        <w:bottom w:val="none" w:sz="0" w:space="0" w:color="auto"/>
        <w:right w:val="none" w:sz="0" w:space="0" w:color="auto"/>
      </w:divBdr>
    </w:div>
    <w:div w:id="948201841">
      <w:bodyDiv w:val="1"/>
      <w:marLeft w:val="0"/>
      <w:marRight w:val="0"/>
      <w:marTop w:val="0"/>
      <w:marBottom w:val="0"/>
      <w:divBdr>
        <w:top w:val="none" w:sz="0" w:space="0" w:color="auto"/>
        <w:left w:val="none" w:sz="0" w:space="0" w:color="auto"/>
        <w:bottom w:val="none" w:sz="0" w:space="0" w:color="auto"/>
        <w:right w:val="none" w:sz="0" w:space="0" w:color="auto"/>
      </w:divBdr>
    </w:div>
    <w:div w:id="960258779">
      <w:bodyDiv w:val="1"/>
      <w:marLeft w:val="0"/>
      <w:marRight w:val="0"/>
      <w:marTop w:val="0"/>
      <w:marBottom w:val="0"/>
      <w:divBdr>
        <w:top w:val="none" w:sz="0" w:space="0" w:color="auto"/>
        <w:left w:val="none" w:sz="0" w:space="0" w:color="auto"/>
        <w:bottom w:val="none" w:sz="0" w:space="0" w:color="auto"/>
        <w:right w:val="none" w:sz="0" w:space="0" w:color="auto"/>
      </w:divBdr>
    </w:div>
    <w:div w:id="1051223009">
      <w:bodyDiv w:val="1"/>
      <w:marLeft w:val="0"/>
      <w:marRight w:val="0"/>
      <w:marTop w:val="0"/>
      <w:marBottom w:val="0"/>
      <w:divBdr>
        <w:top w:val="none" w:sz="0" w:space="0" w:color="auto"/>
        <w:left w:val="none" w:sz="0" w:space="0" w:color="auto"/>
        <w:bottom w:val="none" w:sz="0" w:space="0" w:color="auto"/>
        <w:right w:val="none" w:sz="0" w:space="0" w:color="auto"/>
      </w:divBdr>
    </w:div>
    <w:div w:id="1096096630">
      <w:bodyDiv w:val="1"/>
      <w:marLeft w:val="0"/>
      <w:marRight w:val="0"/>
      <w:marTop w:val="0"/>
      <w:marBottom w:val="0"/>
      <w:divBdr>
        <w:top w:val="none" w:sz="0" w:space="0" w:color="auto"/>
        <w:left w:val="none" w:sz="0" w:space="0" w:color="auto"/>
        <w:bottom w:val="none" w:sz="0" w:space="0" w:color="auto"/>
        <w:right w:val="none" w:sz="0" w:space="0" w:color="auto"/>
      </w:divBdr>
    </w:div>
    <w:div w:id="1102384152">
      <w:bodyDiv w:val="1"/>
      <w:marLeft w:val="0"/>
      <w:marRight w:val="0"/>
      <w:marTop w:val="0"/>
      <w:marBottom w:val="0"/>
      <w:divBdr>
        <w:top w:val="none" w:sz="0" w:space="0" w:color="auto"/>
        <w:left w:val="none" w:sz="0" w:space="0" w:color="auto"/>
        <w:bottom w:val="none" w:sz="0" w:space="0" w:color="auto"/>
        <w:right w:val="none" w:sz="0" w:space="0" w:color="auto"/>
      </w:divBdr>
    </w:div>
    <w:div w:id="1110050395">
      <w:bodyDiv w:val="1"/>
      <w:marLeft w:val="0"/>
      <w:marRight w:val="0"/>
      <w:marTop w:val="0"/>
      <w:marBottom w:val="0"/>
      <w:divBdr>
        <w:top w:val="none" w:sz="0" w:space="0" w:color="auto"/>
        <w:left w:val="none" w:sz="0" w:space="0" w:color="auto"/>
        <w:bottom w:val="none" w:sz="0" w:space="0" w:color="auto"/>
        <w:right w:val="none" w:sz="0" w:space="0" w:color="auto"/>
      </w:divBdr>
    </w:div>
    <w:div w:id="1118910519">
      <w:bodyDiv w:val="1"/>
      <w:marLeft w:val="0"/>
      <w:marRight w:val="0"/>
      <w:marTop w:val="0"/>
      <w:marBottom w:val="0"/>
      <w:divBdr>
        <w:top w:val="none" w:sz="0" w:space="0" w:color="auto"/>
        <w:left w:val="none" w:sz="0" w:space="0" w:color="auto"/>
        <w:bottom w:val="none" w:sz="0" w:space="0" w:color="auto"/>
        <w:right w:val="none" w:sz="0" w:space="0" w:color="auto"/>
      </w:divBdr>
    </w:div>
    <w:div w:id="1129856257">
      <w:bodyDiv w:val="1"/>
      <w:marLeft w:val="0"/>
      <w:marRight w:val="0"/>
      <w:marTop w:val="0"/>
      <w:marBottom w:val="0"/>
      <w:divBdr>
        <w:top w:val="none" w:sz="0" w:space="0" w:color="auto"/>
        <w:left w:val="none" w:sz="0" w:space="0" w:color="auto"/>
        <w:bottom w:val="none" w:sz="0" w:space="0" w:color="auto"/>
        <w:right w:val="none" w:sz="0" w:space="0" w:color="auto"/>
      </w:divBdr>
    </w:div>
    <w:div w:id="1146359186">
      <w:bodyDiv w:val="1"/>
      <w:marLeft w:val="0"/>
      <w:marRight w:val="0"/>
      <w:marTop w:val="0"/>
      <w:marBottom w:val="0"/>
      <w:divBdr>
        <w:top w:val="none" w:sz="0" w:space="0" w:color="auto"/>
        <w:left w:val="none" w:sz="0" w:space="0" w:color="auto"/>
        <w:bottom w:val="none" w:sz="0" w:space="0" w:color="auto"/>
        <w:right w:val="none" w:sz="0" w:space="0" w:color="auto"/>
      </w:divBdr>
    </w:div>
    <w:div w:id="1316494827">
      <w:bodyDiv w:val="1"/>
      <w:marLeft w:val="0"/>
      <w:marRight w:val="0"/>
      <w:marTop w:val="0"/>
      <w:marBottom w:val="0"/>
      <w:divBdr>
        <w:top w:val="none" w:sz="0" w:space="0" w:color="auto"/>
        <w:left w:val="none" w:sz="0" w:space="0" w:color="auto"/>
        <w:bottom w:val="none" w:sz="0" w:space="0" w:color="auto"/>
        <w:right w:val="none" w:sz="0" w:space="0" w:color="auto"/>
      </w:divBdr>
    </w:div>
    <w:div w:id="1450005802">
      <w:bodyDiv w:val="1"/>
      <w:marLeft w:val="0"/>
      <w:marRight w:val="0"/>
      <w:marTop w:val="0"/>
      <w:marBottom w:val="0"/>
      <w:divBdr>
        <w:top w:val="none" w:sz="0" w:space="0" w:color="auto"/>
        <w:left w:val="none" w:sz="0" w:space="0" w:color="auto"/>
        <w:bottom w:val="none" w:sz="0" w:space="0" w:color="auto"/>
        <w:right w:val="none" w:sz="0" w:space="0" w:color="auto"/>
      </w:divBdr>
    </w:div>
    <w:div w:id="1454668556">
      <w:bodyDiv w:val="1"/>
      <w:marLeft w:val="0"/>
      <w:marRight w:val="0"/>
      <w:marTop w:val="0"/>
      <w:marBottom w:val="0"/>
      <w:divBdr>
        <w:top w:val="none" w:sz="0" w:space="0" w:color="auto"/>
        <w:left w:val="none" w:sz="0" w:space="0" w:color="auto"/>
        <w:bottom w:val="none" w:sz="0" w:space="0" w:color="auto"/>
        <w:right w:val="none" w:sz="0" w:space="0" w:color="auto"/>
      </w:divBdr>
    </w:div>
    <w:div w:id="1490093716">
      <w:bodyDiv w:val="1"/>
      <w:marLeft w:val="0"/>
      <w:marRight w:val="0"/>
      <w:marTop w:val="0"/>
      <w:marBottom w:val="0"/>
      <w:divBdr>
        <w:top w:val="none" w:sz="0" w:space="0" w:color="auto"/>
        <w:left w:val="none" w:sz="0" w:space="0" w:color="auto"/>
        <w:bottom w:val="none" w:sz="0" w:space="0" w:color="auto"/>
        <w:right w:val="none" w:sz="0" w:space="0" w:color="auto"/>
      </w:divBdr>
    </w:div>
    <w:div w:id="1509759804">
      <w:bodyDiv w:val="1"/>
      <w:marLeft w:val="0"/>
      <w:marRight w:val="0"/>
      <w:marTop w:val="0"/>
      <w:marBottom w:val="0"/>
      <w:divBdr>
        <w:top w:val="none" w:sz="0" w:space="0" w:color="auto"/>
        <w:left w:val="none" w:sz="0" w:space="0" w:color="auto"/>
        <w:bottom w:val="none" w:sz="0" w:space="0" w:color="auto"/>
        <w:right w:val="none" w:sz="0" w:space="0" w:color="auto"/>
      </w:divBdr>
    </w:div>
    <w:div w:id="1515728407">
      <w:bodyDiv w:val="1"/>
      <w:marLeft w:val="0"/>
      <w:marRight w:val="0"/>
      <w:marTop w:val="0"/>
      <w:marBottom w:val="0"/>
      <w:divBdr>
        <w:top w:val="none" w:sz="0" w:space="0" w:color="auto"/>
        <w:left w:val="none" w:sz="0" w:space="0" w:color="auto"/>
        <w:bottom w:val="none" w:sz="0" w:space="0" w:color="auto"/>
        <w:right w:val="none" w:sz="0" w:space="0" w:color="auto"/>
      </w:divBdr>
    </w:div>
    <w:div w:id="1545215411">
      <w:bodyDiv w:val="1"/>
      <w:marLeft w:val="0"/>
      <w:marRight w:val="0"/>
      <w:marTop w:val="0"/>
      <w:marBottom w:val="0"/>
      <w:divBdr>
        <w:top w:val="none" w:sz="0" w:space="0" w:color="auto"/>
        <w:left w:val="none" w:sz="0" w:space="0" w:color="auto"/>
        <w:bottom w:val="none" w:sz="0" w:space="0" w:color="auto"/>
        <w:right w:val="none" w:sz="0" w:space="0" w:color="auto"/>
      </w:divBdr>
    </w:div>
    <w:div w:id="1638989825">
      <w:bodyDiv w:val="1"/>
      <w:marLeft w:val="0"/>
      <w:marRight w:val="0"/>
      <w:marTop w:val="0"/>
      <w:marBottom w:val="0"/>
      <w:divBdr>
        <w:top w:val="none" w:sz="0" w:space="0" w:color="auto"/>
        <w:left w:val="none" w:sz="0" w:space="0" w:color="auto"/>
        <w:bottom w:val="none" w:sz="0" w:space="0" w:color="auto"/>
        <w:right w:val="none" w:sz="0" w:space="0" w:color="auto"/>
      </w:divBdr>
    </w:div>
    <w:div w:id="1661500241">
      <w:bodyDiv w:val="1"/>
      <w:marLeft w:val="0"/>
      <w:marRight w:val="0"/>
      <w:marTop w:val="0"/>
      <w:marBottom w:val="0"/>
      <w:divBdr>
        <w:top w:val="none" w:sz="0" w:space="0" w:color="auto"/>
        <w:left w:val="none" w:sz="0" w:space="0" w:color="auto"/>
        <w:bottom w:val="none" w:sz="0" w:space="0" w:color="auto"/>
        <w:right w:val="none" w:sz="0" w:space="0" w:color="auto"/>
      </w:divBdr>
    </w:div>
    <w:div w:id="1664159373">
      <w:bodyDiv w:val="1"/>
      <w:marLeft w:val="0"/>
      <w:marRight w:val="0"/>
      <w:marTop w:val="0"/>
      <w:marBottom w:val="0"/>
      <w:divBdr>
        <w:top w:val="none" w:sz="0" w:space="0" w:color="auto"/>
        <w:left w:val="none" w:sz="0" w:space="0" w:color="auto"/>
        <w:bottom w:val="none" w:sz="0" w:space="0" w:color="auto"/>
        <w:right w:val="none" w:sz="0" w:space="0" w:color="auto"/>
      </w:divBdr>
    </w:div>
    <w:div w:id="1713729915">
      <w:bodyDiv w:val="1"/>
      <w:marLeft w:val="0"/>
      <w:marRight w:val="0"/>
      <w:marTop w:val="0"/>
      <w:marBottom w:val="0"/>
      <w:divBdr>
        <w:top w:val="none" w:sz="0" w:space="0" w:color="auto"/>
        <w:left w:val="none" w:sz="0" w:space="0" w:color="auto"/>
        <w:bottom w:val="none" w:sz="0" w:space="0" w:color="auto"/>
        <w:right w:val="none" w:sz="0" w:space="0" w:color="auto"/>
      </w:divBdr>
    </w:div>
    <w:div w:id="1718428970">
      <w:bodyDiv w:val="1"/>
      <w:marLeft w:val="0"/>
      <w:marRight w:val="0"/>
      <w:marTop w:val="0"/>
      <w:marBottom w:val="0"/>
      <w:divBdr>
        <w:top w:val="none" w:sz="0" w:space="0" w:color="auto"/>
        <w:left w:val="none" w:sz="0" w:space="0" w:color="auto"/>
        <w:bottom w:val="none" w:sz="0" w:space="0" w:color="auto"/>
        <w:right w:val="none" w:sz="0" w:space="0" w:color="auto"/>
      </w:divBdr>
    </w:div>
    <w:div w:id="1722246035">
      <w:bodyDiv w:val="1"/>
      <w:marLeft w:val="0"/>
      <w:marRight w:val="0"/>
      <w:marTop w:val="0"/>
      <w:marBottom w:val="0"/>
      <w:divBdr>
        <w:top w:val="none" w:sz="0" w:space="0" w:color="auto"/>
        <w:left w:val="none" w:sz="0" w:space="0" w:color="auto"/>
        <w:bottom w:val="none" w:sz="0" w:space="0" w:color="auto"/>
        <w:right w:val="none" w:sz="0" w:space="0" w:color="auto"/>
      </w:divBdr>
    </w:div>
    <w:div w:id="1827673111">
      <w:bodyDiv w:val="1"/>
      <w:marLeft w:val="0"/>
      <w:marRight w:val="0"/>
      <w:marTop w:val="0"/>
      <w:marBottom w:val="0"/>
      <w:divBdr>
        <w:top w:val="none" w:sz="0" w:space="0" w:color="auto"/>
        <w:left w:val="none" w:sz="0" w:space="0" w:color="auto"/>
        <w:bottom w:val="none" w:sz="0" w:space="0" w:color="auto"/>
        <w:right w:val="none" w:sz="0" w:space="0" w:color="auto"/>
      </w:divBdr>
    </w:div>
    <w:div w:id="1904870757">
      <w:bodyDiv w:val="1"/>
      <w:marLeft w:val="0"/>
      <w:marRight w:val="0"/>
      <w:marTop w:val="0"/>
      <w:marBottom w:val="0"/>
      <w:divBdr>
        <w:top w:val="none" w:sz="0" w:space="0" w:color="auto"/>
        <w:left w:val="none" w:sz="0" w:space="0" w:color="auto"/>
        <w:bottom w:val="none" w:sz="0" w:space="0" w:color="auto"/>
        <w:right w:val="none" w:sz="0" w:space="0" w:color="auto"/>
      </w:divBdr>
    </w:div>
    <w:div w:id="1946039264">
      <w:bodyDiv w:val="1"/>
      <w:marLeft w:val="0"/>
      <w:marRight w:val="0"/>
      <w:marTop w:val="0"/>
      <w:marBottom w:val="0"/>
      <w:divBdr>
        <w:top w:val="none" w:sz="0" w:space="0" w:color="auto"/>
        <w:left w:val="none" w:sz="0" w:space="0" w:color="auto"/>
        <w:bottom w:val="none" w:sz="0" w:space="0" w:color="auto"/>
        <w:right w:val="none" w:sz="0" w:space="0" w:color="auto"/>
      </w:divBdr>
    </w:div>
    <w:div w:id="2018850642">
      <w:bodyDiv w:val="1"/>
      <w:marLeft w:val="0"/>
      <w:marRight w:val="0"/>
      <w:marTop w:val="0"/>
      <w:marBottom w:val="0"/>
      <w:divBdr>
        <w:top w:val="none" w:sz="0" w:space="0" w:color="auto"/>
        <w:left w:val="none" w:sz="0" w:space="0" w:color="auto"/>
        <w:bottom w:val="none" w:sz="0" w:space="0" w:color="auto"/>
        <w:right w:val="none" w:sz="0" w:space="0" w:color="auto"/>
      </w:divBdr>
    </w:div>
    <w:div w:id="2021545059">
      <w:bodyDiv w:val="1"/>
      <w:marLeft w:val="0"/>
      <w:marRight w:val="0"/>
      <w:marTop w:val="0"/>
      <w:marBottom w:val="0"/>
      <w:divBdr>
        <w:top w:val="none" w:sz="0" w:space="0" w:color="auto"/>
        <w:left w:val="none" w:sz="0" w:space="0" w:color="auto"/>
        <w:bottom w:val="none" w:sz="0" w:space="0" w:color="auto"/>
        <w:right w:val="none" w:sz="0" w:space="0" w:color="auto"/>
      </w:divBdr>
    </w:div>
    <w:div w:id="2066365151">
      <w:bodyDiv w:val="1"/>
      <w:marLeft w:val="0"/>
      <w:marRight w:val="0"/>
      <w:marTop w:val="0"/>
      <w:marBottom w:val="0"/>
      <w:divBdr>
        <w:top w:val="none" w:sz="0" w:space="0" w:color="auto"/>
        <w:left w:val="none" w:sz="0" w:space="0" w:color="auto"/>
        <w:bottom w:val="none" w:sz="0" w:space="0" w:color="auto"/>
        <w:right w:val="none" w:sz="0" w:space="0" w:color="auto"/>
      </w:divBdr>
    </w:div>
    <w:div w:id="210314191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12708-8364-4C17-9F6E-1D9830B7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7492</Words>
  <Characters>39263</Characters>
  <Application>Microsoft Office Word</Application>
  <DocSecurity>0</DocSecurity>
  <PresentationFormat/>
  <Lines>1402</Lines>
  <Paragraphs>607</Paragraphs>
  <ScaleCrop>false</ScaleCrop>
  <HeadingPairs>
    <vt:vector size="2" baseType="variant">
      <vt:variant>
        <vt:lpstr>Title</vt:lpstr>
      </vt:variant>
      <vt:variant>
        <vt:i4>1</vt:i4>
      </vt:variant>
    </vt:vector>
  </HeadingPairs>
  <TitlesOfParts>
    <vt:vector size="1" baseType="lpstr">
      <vt:lpstr>Blackwell DI Testimony.docx (00164460).DOCX</vt:lpstr>
    </vt:vector>
  </TitlesOfParts>
  <Company>IDACORP</Company>
  <LinksUpToDate>false</LinksUpToDate>
  <CharactersWithSpaces>46148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Blackwell DI Testimony.docx (00164460).DOCX</dc:title>
  <dc:subject>wdNOSTAMP</dc:subject>
  <dc:creator>Gust, Stacy</dc:creator>
  <cp:keywords/>
  <dc:description>DO NOT STAMP</dc:description>
  <cp:lastModifiedBy>Davenport, Christy</cp:lastModifiedBy>
  <cp:revision>3</cp:revision>
  <cp:lastPrinted>2023-04-25T22:13:00Z</cp:lastPrinted>
  <dcterms:created xsi:type="dcterms:W3CDTF">2023-04-25T22:12:00Z</dcterms:created>
  <dcterms:modified xsi:type="dcterms:W3CDTF">2023-04-25T22:13:00Z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 No.">
    <vt:lpwstr>IPC-E-08-10</vt:lpwstr>
  </property>
  <property fmtid="{D5CDD505-2E9C-101B-9397-08002B2CF9AE}" pid="3" name="Doc Type">
    <vt:lpwstr>Direct Testimony</vt:lpwstr>
  </property>
  <property fmtid="{D5CDD505-2E9C-101B-9397-08002B2CF9AE}" pid="4" name="UserDate">
    <vt:lpwstr>4/13/2017 1:50:29 PM</vt:lpwstr>
  </property>
  <property fmtid="{D5CDD505-2E9C-101B-9397-08002B2CF9AE}" pid="5" name="_DocHome">
    <vt:i4>-1371994558</vt:i4>
  </property>
  <property fmtid="{D5CDD505-2E9C-101B-9397-08002B2CF9AE}" pid="6" name="MSIP_Label_b4b49261-55b4-4c61-a7f3-ea1fabfcd5b2_Enabled">
    <vt:lpwstr>true</vt:lpwstr>
  </property>
  <property fmtid="{D5CDD505-2E9C-101B-9397-08002B2CF9AE}" pid="7" name="MSIP_Label_b4b49261-55b4-4c61-a7f3-ea1fabfcd5b2_SetDate">
    <vt:lpwstr>2022-04-06T15:33:50Z</vt:lpwstr>
  </property>
  <property fmtid="{D5CDD505-2E9C-101B-9397-08002B2CF9AE}" pid="8" name="MSIP_Label_b4b49261-55b4-4c61-a7f3-ea1fabfcd5b2_Method">
    <vt:lpwstr>Privileged</vt:lpwstr>
  </property>
  <property fmtid="{D5CDD505-2E9C-101B-9397-08002B2CF9AE}" pid="9" name="MSIP_Label_b4b49261-55b4-4c61-a7f3-ea1fabfcd5b2_Name">
    <vt:lpwstr>Public - No Footer</vt:lpwstr>
  </property>
  <property fmtid="{D5CDD505-2E9C-101B-9397-08002B2CF9AE}" pid="10" name="MSIP_Label_b4b49261-55b4-4c61-a7f3-ea1fabfcd5b2_SiteId">
    <vt:lpwstr>e1a7ae20-258a-4360-9870-74c2b37bfec5</vt:lpwstr>
  </property>
  <property fmtid="{D5CDD505-2E9C-101B-9397-08002B2CF9AE}" pid="11" name="MSIP_Label_b4b49261-55b4-4c61-a7f3-ea1fabfcd5b2_ActionId">
    <vt:lpwstr>52e8f34f-b041-47cb-ab86-58eb95f11b65</vt:lpwstr>
  </property>
  <property fmtid="{D5CDD505-2E9C-101B-9397-08002B2CF9AE}" pid="12" name="MSIP_Label_b4b49261-55b4-4c61-a7f3-ea1fabfcd5b2_ContentBits">
    <vt:lpwstr>0</vt:lpwstr>
  </property>
</Properties>
</file>